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576"/>
      </w:tblGrid>
      <w:tr w:rsidR="00932B83" w14:paraId="0DC6EE06" w14:textId="77777777" w:rsidTr="00ED102A">
        <w:tc>
          <w:tcPr>
            <w:tcW w:w="9576" w:type="dxa"/>
            <w:shd w:val="clear" w:color="auto" w:fill="auto"/>
          </w:tcPr>
          <w:p w14:paraId="055F76C8" w14:textId="552EDBFE" w:rsidR="00EF689B" w:rsidRDefault="00EF689B" w:rsidP="00ED102A">
            <w:pPr>
              <w:pStyle w:val="14bldcentr"/>
            </w:pPr>
            <w:r>
              <w:t xml:space="preserve">SOLICITATION </w:t>
            </w:r>
            <w:r w:rsidR="00932B83">
              <w:t xml:space="preserve">ADDENDUM </w:t>
            </w:r>
            <w:r w:rsidR="00F92CCF">
              <w:t>ONE</w:t>
            </w:r>
            <w:r w:rsidR="00932B83">
              <w:t xml:space="preserve"> </w:t>
            </w:r>
          </w:p>
          <w:p w14:paraId="3A5C9B84" w14:textId="77777777" w:rsidR="00932B83" w:rsidRDefault="00932B83" w:rsidP="00ED102A">
            <w:pPr>
              <w:pStyle w:val="14bldcentr"/>
            </w:pPr>
            <w:r>
              <w:t>QUESTIONS AND ANSWERS</w:t>
            </w:r>
          </w:p>
        </w:tc>
      </w:tr>
    </w:tbl>
    <w:p w14:paraId="23A61234" w14:textId="77777777" w:rsidR="00932B83" w:rsidRPr="009E4338" w:rsidRDefault="00932B83" w:rsidP="00932B83">
      <w:pPr>
        <w:pStyle w:val="14bldcentr"/>
        <w:rPr>
          <w:sz w:val="20"/>
        </w:rPr>
      </w:pPr>
    </w:p>
    <w:p w14:paraId="35152D4F" w14:textId="77777777" w:rsidR="00932B83" w:rsidRPr="009E4338" w:rsidRDefault="00932B83" w:rsidP="00932B83">
      <w:pPr>
        <w:pStyle w:val="Level1Body"/>
        <w:rPr>
          <w:sz w:val="20"/>
        </w:rPr>
      </w:pPr>
    </w:p>
    <w:p w14:paraId="0877F011" w14:textId="1FF20371" w:rsidR="00932B83" w:rsidRPr="00BD5697" w:rsidRDefault="00932B83" w:rsidP="00932B83">
      <w:pPr>
        <w:pStyle w:val="Level1Body"/>
      </w:pPr>
      <w:r w:rsidRPr="00F02511">
        <w:t>Date:</w:t>
      </w:r>
      <w:r w:rsidRPr="00F02511">
        <w:tab/>
      </w:r>
      <w:r w:rsidRPr="00F02511">
        <w:tab/>
      </w:r>
      <w:bookmarkStart w:id="0" w:name="Text3"/>
      <w:r w:rsidRPr="00F02511">
        <w:fldChar w:fldCharType="begin"/>
      </w:r>
      <w:r w:rsidRPr="00F02511">
        <w:instrText xml:space="preserve"> MERGEFIELD Date </w:instrText>
      </w:r>
      <w:r w:rsidRPr="00F02511">
        <w:fldChar w:fldCharType="separate"/>
      </w:r>
      <w:r w:rsidR="00F92CCF" w:rsidRPr="00F02511">
        <w:rPr>
          <w:noProof/>
        </w:rPr>
        <w:t>January 14, 2025</w:t>
      </w:r>
      <w:r w:rsidRPr="00F02511">
        <w:fldChar w:fldCharType="end"/>
      </w:r>
      <w:bookmarkEnd w:id="0"/>
      <w:r w:rsidR="00F92CCF" w:rsidRPr="00BD5697">
        <w:t xml:space="preserve"> </w:t>
      </w:r>
    </w:p>
    <w:p w14:paraId="7C4170C6" w14:textId="77777777" w:rsidR="00932B83" w:rsidRPr="009E4338" w:rsidRDefault="00932B83" w:rsidP="00932B83">
      <w:pPr>
        <w:pStyle w:val="Level1Body"/>
        <w:rPr>
          <w:sz w:val="20"/>
        </w:rPr>
      </w:pPr>
    </w:p>
    <w:p w14:paraId="75904966" w14:textId="77777777" w:rsidR="00932B83" w:rsidRPr="00BD5697" w:rsidRDefault="00932B83" w:rsidP="00932B83">
      <w:pPr>
        <w:pStyle w:val="Level1Body"/>
      </w:pPr>
      <w:r w:rsidRPr="00BD5697">
        <w:t>To:</w:t>
      </w:r>
      <w:r w:rsidRPr="00BD5697">
        <w:tab/>
      </w:r>
      <w:r w:rsidRPr="00BD5697">
        <w:tab/>
        <w:t xml:space="preserve">All Bidders </w:t>
      </w:r>
    </w:p>
    <w:p w14:paraId="3B5CB66E" w14:textId="77777777" w:rsidR="00932B83" w:rsidRPr="009E4338" w:rsidRDefault="00932B83" w:rsidP="00932B83">
      <w:pPr>
        <w:pStyle w:val="Level1Body"/>
        <w:rPr>
          <w:sz w:val="20"/>
        </w:rPr>
      </w:pPr>
    </w:p>
    <w:p w14:paraId="6ECF74D9" w14:textId="68F70C0D" w:rsidR="00932B83" w:rsidRPr="00BD5697" w:rsidRDefault="00932B83" w:rsidP="00932B83">
      <w:pPr>
        <w:pStyle w:val="Level1Body"/>
      </w:pPr>
      <w:r w:rsidRPr="00BD5697">
        <w:t>From:</w:t>
      </w:r>
      <w:r w:rsidRPr="00BD5697">
        <w:tab/>
      </w:r>
      <w:r>
        <w:tab/>
      </w:r>
      <w:r w:rsidR="00F92CCF">
        <w:t>Dianna Gilliland/Kelly Rowlands</w:t>
      </w:r>
      <w:r w:rsidRPr="00BD5697">
        <w:t>,</w:t>
      </w:r>
      <w:r w:rsidR="00F92CCF">
        <w:t xml:space="preserve"> Procurement Contracts Officers</w:t>
      </w:r>
    </w:p>
    <w:p w14:paraId="27C28F56" w14:textId="245B82A8" w:rsidR="00932B83" w:rsidRDefault="00F92CCF" w:rsidP="00932B83">
      <w:pPr>
        <w:pStyle w:val="Level3Body"/>
      </w:pPr>
      <w:r>
        <w:t>SPB</w:t>
      </w:r>
    </w:p>
    <w:p w14:paraId="6E019C4C" w14:textId="77777777" w:rsidR="00932B83" w:rsidRPr="009E4338" w:rsidRDefault="00932B83" w:rsidP="00932B83">
      <w:pPr>
        <w:pStyle w:val="Level1Body"/>
        <w:rPr>
          <w:sz w:val="20"/>
        </w:rPr>
      </w:pPr>
    </w:p>
    <w:p w14:paraId="4ED60971" w14:textId="233909F0" w:rsidR="00932B83" w:rsidRPr="003D5317" w:rsidRDefault="00932B83" w:rsidP="00932B83">
      <w:pPr>
        <w:pStyle w:val="Level1Body"/>
        <w:tabs>
          <w:tab w:val="left" w:pos="90"/>
        </w:tabs>
        <w:rPr>
          <w:szCs w:val="22"/>
        </w:rPr>
      </w:pPr>
      <w:r>
        <w:t>RE:</w:t>
      </w:r>
      <w:r>
        <w:tab/>
      </w:r>
      <w:r>
        <w:tab/>
      </w:r>
      <w:r w:rsidRPr="003D5317">
        <w:rPr>
          <w:szCs w:val="22"/>
        </w:rPr>
        <w:t xml:space="preserve">Addendum for </w:t>
      </w:r>
      <w:r w:rsidR="00F92CCF">
        <w:rPr>
          <w:szCs w:val="22"/>
        </w:rPr>
        <w:t>120003 O5</w:t>
      </w:r>
      <w:r w:rsidRPr="003D5317">
        <w:rPr>
          <w:szCs w:val="22"/>
        </w:rPr>
        <w:t xml:space="preserve"> </w:t>
      </w:r>
    </w:p>
    <w:p w14:paraId="04351B62" w14:textId="12C8CE0E" w:rsidR="00932B83" w:rsidRPr="003D5317" w:rsidRDefault="00932B83" w:rsidP="00932B83">
      <w:pPr>
        <w:pStyle w:val="Level3Body"/>
        <w:rPr>
          <w:szCs w:val="22"/>
        </w:rPr>
      </w:pPr>
      <w:r w:rsidRPr="003D5317">
        <w:rPr>
          <w:szCs w:val="22"/>
        </w:rPr>
        <w:t xml:space="preserve">to be opened </w:t>
      </w:r>
      <w:r w:rsidR="00F92CCF">
        <w:rPr>
          <w:szCs w:val="22"/>
        </w:rPr>
        <w:t>January 21, 2025</w:t>
      </w:r>
      <w:r w:rsidRPr="003D5317">
        <w:rPr>
          <w:szCs w:val="22"/>
        </w:rPr>
        <w:t xml:space="preserve"> at</w:t>
      </w:r>
      <w:r w:rsidR="00F92CCF">
        <w:rPr>
          <w:szCs w:val="22"/>
        </w:rPr>
        <w:t xml:space="preserve"> 2</w:t>
      </w:r>
      <w:r w:rsidRPr="003D5317">
        <w:rPr>
          <w:szCs w:val="22"/>
        </w:rPr>
        <w:t xml:space="preserve"> p.m. </w:t>
      </w:r>
      <w:r>
        <w:rPr>
          <w:szCs w:val="22"/>
        </w:rPr>
        <w:t>CST</w:t>
      </w:r>
    </w:p>
    <w:p w14:paraId="04681E3A" w14:textId="77777777" w:rsidR="00932B83" w:rsidRPr="009E4338" w:rsidRDefault="00932B83" w:rsidP="00932B83">
      <w:pPr>
        <w:pStyle w:val="Level3Body"/>
        <w:rPr>
          <w:sz w:val="20"/>
        </w:rPr>
      </w:pPr>
    </w:p>
    <w:p w14:paraId="295C3D36" w14:textId="77777777" w:rsidR="00932B83" w:rsidRPr="00BD5697" w:rsidRDefault="00932B83" w:rsidP="00932B83">
      <w:pPr>
        <w:pStyle w:val="Level1Body"/>
      </w:pPr>
      <w:r>
        <w:rPr>
          <w:noProof/>
        </w:rPr>
        <mc:AlternateContent>
          <mc:Choice Requires="wps">
            <w:drawing>
              <wp:anchor distT="0" distB="0" distL="114300" distR="114300" simplePos="0" relativeHeight="251659264" behindDoc="0" locked="1" layoutInCell="1" allowOverlap="1" wp14:anchorId="7ED2D408" wp14:editId="791D2A38">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BB8C7"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52A5058D" w14:textId="77777777" w:rsidR="00932B83" w:rsidRPr="00BD5697" w:rsidRDefault="00932B83" w:rsidP="00932B83">
      <w:pPr>
        <w:pStyle w:val="Heading4"/>
      </w:pPr>
      <w:r>
        <w:t>Questions and Answers</w:t>
      </w:r>
    </w:p>
    <w:p w14:paraId="1FD2D043" w14:textId="77777777" w:rsidR="00932B83" w:rsidRPr="009E4338" w:rsidRDefault="00932B83" w:rsidP="00932B83">
      <w:pPr>
        <w:pStyle w:val="Level1Body"/>
        <w:rPr>
          <w:sz w:val="20"/>
        </w:rPr>
      </w:pPr>
    </w:p>
    <w:p w14:paraId="28E3AC78" w14:textId="77777777" w:rsidR="00932B83" w:rsidRDefault="00932B83" w:rsidP="00E074E7">
      <w:pPr>
        <w:pStyle w:val="Level1Body"/>
        <w:ind w:left="-720"/>
      </w:pPr>
      <w:r w:rsidRPr="00F053F3">
        <w:t xml:space="preserve">Following are the questions submitted and answers provided for the above-mentioned </w:t>
      </w:r>
      <w:r>
        <w:t>solicitation</w:t>
      </w:r>
      <w:r w:rsidRPr="00F053F3">
        <w:t xml:space="preserve">. </w:t>
      </w:r>
      <w:r>
        <w:t>T</w:t>
      </w:r>
      <w:r w:rsidRPr="00F053F3">
        <w:t>he questions and answers are to be considered as part of the</w:t>
      </w:r>
      <w:r>
        <w:t xml:space="preserve"> solicitation.</w:t>
      </w:r>
      <w:r w:rsidRPr="00BD5697">
        <w:t xml:space="preserve"> </w:t>
      </w:r>
      <w:r>
        <w:t>It is the responsibility of bidders to check the State Purchasing Bureau website for all addenda or amendments.</w:t>
      </w:r>
    </w:p>
    <w:tbl>
      <w:tblPr>
        <w:tblStyle w:val="TableGrid"/>
        <w:tblpPr w:leftFromText="180" w:rightFromText="180" w:vertAnchor="text" w:horzAnchor="margin" w:tblpX="-1000" w:tblpY="161"/>
        <w:tblW w:w="11425" w:type="dxa"/>
        <w:tblLayout w:type="fixed"/>
        <w:tblLook w:val="04A0" w:firstRow="1" w:lastRow="0" w:firstColumn="1" w:lastColumn="0" w:noHBand="0" w:noVBand="1"/>
      </w:tblPr>
      <w:tblGrid>
        <w:gridCol w:w="937"/>
        <w:gridCol w:w="1657"/>
        <w:gridCol w:w="876"/>
        <w:gridCol w:w="3455"/>
        <w:gridCol w:w="4500"/>
      </w:tblGrid>
      <w:tr w:rsidR="00D573D3" w14:paraId="173FD69B" w14:textId="77777777" w:rsidTr="009E4338">
        <w:tc>
          <w:tcPr>
            <w:tcW w:w="937" w:type="dxa"/>
            <w:shd w:val="clear" w:color="auto" w:fill="E6E6E6" w:themeFill="background1" w:themeFillShade="E6"/>
          </w:tcPr>
          <w:p w14:paraId="415C4EA9" w14:textId="77777777" w:rsidR="00932B83" w:rsidRPr="0043603E" w:rsidRDefault="00932B83" w:rsidP="00C555E5">
            <w:pPr>
              <w:pStyle w:val="Level1Body"/>
              <w:jc w:val="center"/>
              <w:rPr>
                <w:sz w:val="18"/>
                <w:szCs w:val="18"/>
                <w:u w:val="single"/>
              </w:rPr>
            </w:pPr>
            <w:r w:rsidRPr="0043603E">
              <w:rPr>
                <w:sz w:val="18"/>
                <w:szCs w:val="18"/>
                <w:u w:val="single"/>
              </w:rPr>
              <w:t>Question Number</w:t>
            </w:r>
          </w:p>
        </w:tc>
        <w:tc>
          <w:tcPr>
            <w:tcW w:w="1657" w:type="dxa"/>
            <w:shd w:val="clear" w:color="auto" w:fill="E6E6E6" w:themeFill="background1" w:themeFillShade="E6"/>
          </w:tcPr>
          <w:p w14:paraId="4C132212" w14:textId="756F55C0" w:rsidR="00932B83" w:rsidRPr="0043603E" w:rsidRDefault="00932B83" w:rsidP="00C555E5">
            <w:pPr>
              <w:pStyle w:val="Level1Body"/>
              <w:jc w:val="center"/>
              <w:rPr>
                <w:sz w:val="18"/>
                <w:szCs w:val="18"/>
                <w:u w:val="single"/>
              </w:rPr>
            </w:pPr>
            <w:r>
              <w:rPr>
                <w:sz w:val="18"/>
                <w:szCs w:val="18"/>
                <w:u w:val="single"/>
              </w:rPr>
              <w:t>RFP</w:t>
            </w:r>
            <w:r w:rsidR="009E4338">
              <w:rPr>
                <w:sz w:val="18"/>
                <w:szCs w:val="18"/>
                <w:u w:val="single"/>
              </w:rPr>
              <w:t xml:space="preserve"> </w:t>
            </w:r>
            <w:r w:rsidRPr="0043603E">
              <w:rPr>
                <w:sz w:val="18"/>
                <w:szCs w:val="18"/>
                <w:u w:val="single"/>
              </w:rPr>
              <w:t>Section</w:t>
            </w:r>
          </w:p>
          <w:p w14:paraId="150EF345" w14:textId="77777777" w:rsidR="00932B83" w:rsidRPr="0043603E" w:rsidRDefault="00932B83" w:rsidP="00C555E5">
            <w:pPr>
              <w:pStyle w:val="Level1Body"/>
              <w:jc w:val="center"/>
              <w:rPr>
                <w:sz w:val="18"/>
                <w:szCs w:val="18"/>
                <w:u w:val="single"/>
              </w:rPr>
            </w:pPr>
            <w:r w:rsidRPr="0043603E">
              <w:rPr>
                <w:sz w:val="18"/>
                <w:szCs w:val="18"/>
                <w:u w:val="single"/>
              </w:rPr>
              <w:t>Reference</w:t>
            </w:r>
          </w:p>
        </w:tc>
        <w:tc>
          <w:tcPr>
            <w:tcW w:w="876" w:type="dxa"/>
            <w:shd w:val="clear" w:color="auto" w:fill="E6E6E6" w:themeFill="background1" w:themeFillShade="E6"/>
          </w:tcPr>
          <w:p w14:paraId="3D4B313B" w14:textId="53A30083" w:rsidR="00932B83" w:rsidRPr="0043603E" w:rsidRDefault="00932B83" w:rsidP="009E4338">
            <w:pPr>
              <w:pStyle w:val="Level1Body"/>
              <w:jc w:val="center"/>
              <w:rPr>
                <w:sz w:val="18"/>
                <w:szCs w:val="18"/>
                <w:u w:val="single"/>
              </w:rPr>
            </w:pPr>
            <w:r w:rsidRPr="0043603E">
              <w:rPr>
                <w:sz w:val="18"/>
                <w:szCs w:val="18"/>
                <w:u w:val="single"/>
              </w:rPr>
              <w:t>RFP</w:t>
            </w:r>
            <w:r w:rsidR="009E4338">
              <w:rPr>
                <w:sz w:val="18"/>
                <w:szCs w:val="18"/>
                <w:u w:val="single"/>
              </w:rPr>
              <w:t xml:space="preserve"> </w:t>
            </w:r>
            <w:r w:rsidRPr="0043603E">
              <w:rPr>
                <w:sz w:val="18"/>
                <w:szCs w:val="18"/>
                <w:u w:val="single"/>
              </w:rPr>
              <w:t>Page Number</w:t>
            </w:r>
          </w:p>
        </w:tc>
        <w:tc>
          <w:tcPr>
            <w:tcW w:w="3455" w:type="dxa"/>
            <w:shd w:val="clear" w:color="auto" w:fill="E6E6E6" w:themeFill="background1" w:themeFillShade="E6"/>
          </w:tcPr>
          <w:p w14:paraId="08AC6673" w14:textId="77777777" w:rsidR="00932B83" w:rsidRPr="0043603E" w:rsidRDefault="00932B83" w:rsidP="00C555E5">
            <w:pPr>
              <w:pStyle w:val="Level1Body"/>
              <w:jc w:val="center"/>
              <w:rPr>
                <w:sz w:val="18"/>
                <w:szCs w:val="18"/>
                <w:u w:val="single"/>
              </w:rPr>
            </w:pPr>
            <w:r w:rsidRPr="0043603E">
              <w:rPr>
                <w:sz w:val="18"/>
                <w:szCs w:val="18"/>
                <w:u w:val="single"/>
              </w:rPr>
              <w:t>Question</w:t>
            </w:r>
          </w:p>
        </w:tc>
        <w:tc>
          <w:tcPr>
            <w:tcW w:w="4500" w:type="dxa"/>
            <w:shd w:val="clear" w:color="auto" w:fill="E6E6E6" w:themeFill="background1" w:themeFillShade="E6"/>
          </w:tcPr>
          <w:p w14:paraId="58E2FE3A" w14:textId="77777777" w:rsidR="00932B83" w:rsidRPr="0043603E" w:rsidRDefault="00932B83" w:rsidP="00C555E5">
            <w:pPr>
              <w:pStyle w:val="Level1Body"/>
              <w:jc w:val="center"/>
              <w:rPr>
                <w:sz w:val="18"/>
                <w:szCs w:val="18"/>
                <w:u w:val="single"/>
              </w:rPr>
            </w:pPr>
            <w:r w:rsidRPr="0043603E">
              <w:rPr>
                <w:sz w:val="18"/>
                <w:szCs w:val="18"/>
                <w:u w:val="single"/>
              </w:rPr>
              <w:t>State Response</w:t>
            </w:r>
          </w:p>
        </w:tc>
      </w:tr>
      <w:tr w:rsidR="00D573D3" w14:paraId="0A01CABE" w14:textId="77777777" w:rsidTr="009E4338">
        <w:trPr>
          <w:trHeight w:val="1874"/>
        </w:trPr>
        <w:tc>
          <w:tcPr>
            <w:tcW w:w="937" w:type="dxa"/>
          </w:tcPr>
          <w:p w14:paraId="0718C27E" w14:textId="77777777" w:rsidR="00932B83" w:rsidRPr="00C555E5" w:rsidRDefault="00932B83" w:rsidP="00C555E5">
            <w:pPr>
              <w:pStyle w:val="Level1Body"/>
            </w:pPr>
            <w:r w:rsidRPr="00C555E5">
              <w:t>1.</w:t>
            </w:r>
          </w:p>
        </w:tc>
        <w:tc>
          <w:tcPr>
            <w:tcW w:w="1657" w:type="dxa"/>
          </w:tcPr>
          <w:p w14:paraId="5BEA0881" w14:textId="77777777" w:rsidR="00932B83" w:rsidRPr="00C555E5" w:rsidRDefault="00932B83" w:rsidP="00C555E5">
            <w:pPr>
              <w:pStyle w:val="Level1Body"/>
            </w:pPr>
          </w:p>
        </w:tc>
        <w:tc>
          <w:tcPr>
            <w:tcW w:w="876" w:type="dxa"/>
          </w:tcPr>
          <w:p w14:paraId="3C552790" w14:textId="77777777" w:rsidR="00932B83" w:rsidRPr="00C555E5" w:rsidRDefault="00932B83" w:rsidP="00C555E5">
            <w:pPr>
              <w:pStyle w:val="Level1Body"/>
            </w:pPr>
          </w:p>
        </w:tc>
        <w:tc>
          <w:tcPr>
            <w:tcW w:w="3455" w:type="dxa"/>
          </w:tcPr>
          <w:p w14:paraId="29DB8BF7" w14:textId="457109E7" w:rsidR="00932B83" w:rsidRPr="00C555E5" w:rsidRDefault="00F92CCF" w:rsidP="00E074E7">
            <w:pPr>
              <w:jc w:val="left"/>
            </w:pPr>
            <w:r w:rsidRPr="00C555E5">
              <w:t>Would you consider having a webinar or other virtual meeting to discuss the project at a high level and answer questions?</w:t>
            </w:r>
          </w:p>
        </w:tc>
        <w:tc>
          <w:tcPr>
            <w:tcW w:w="4500" w:type="dxa"/>
          </w:tcPr>
          <w:p w14:paraId="0BDB9344" w14:textId="77777777" w:rsidR="00D573D3" w:rsidRPr="006D2B15" w:rsidRDefault="00D573D3" w:rsidP="00C555E5">
            <w:pPr>
              <w:pStyle w:val="Level1Body"/>
              <w:jc w:val="left"/>
              <w:rPr>
                <w:color w:val="auto"/>
              </w:rPr>
            </w:pPr>
            <w:r w:rsidRPr="006D2B15">
              <w:rPr>
                <w:color w:val="auto"/>
              </w:rPr>
              <w:t xml:space="preserve">NDEE will not be holding a webinar in addition to the solicitation. </w:t>
            </w:r>
          </w:p>
          <w:p w14:paraId="3BEF0252" w14:textId="77777777" w:rsidR="005939BD" w:rsidRPr="002377F5" w:rsidRDefault="005939BD" w:rsidP="00C555E5">
            <w:pPr>
              <w:pStyle w:val="Level1Body"/>
              <w:jc w:val="left"/>
              <w:rPr>
                <w:color w:val="auto"/>
                <w:sz w:val="18"/>
                <w:szCs w:val="18"/>
              </w:rPr>
            </w:pPr>
          </w:p>
          <w:p w14:paraId="412B323F" w14:textId="7B28FE99" w:rsidR="00D573D3" w:rsidRDefault="00D573D3" w:rsidP="00C555E5">
            <w:pPr>
              <w:pStyle w:val="Level1Body"/>
              <w:jc w:val="left"/>
              <w:rPr>
                <w:color w:val="auto"/>
              </w:rPr>
            </w:pPr>
            <w:r w:rsidRPr="006D2B15">
              <w:rPr>
                <w:color w:val="auto"/>
              </w:rPr>
              <w:t xml:space="preserve">More information on the </w:t>
            </w:r>
            <w:r w:rsidRPr="006D2B15">
              <w:rPr>
                <w:i/>
                <w:iCs/>
                <w:color w:val="auto"/>
              </w:rPr>
              <w:t>Home Energy Rebates Programs</w:t>
            </w:r>
            <w:r w:rsidRPr="006D2B15">
              <w:rPr>
                <w:color w:val="auto"/>
              </w:rPr>
              <w:t xml:space="preserve"> can be found here: </w:t>
            </w:r>
          </w:p>
          <w:p w14:paraId="735BAC78" w14:textId="77777777" w:rsidR="002377F5" w:rsidRPr="002377F5" w:rsidRDefault="002377F5" w:rsidP="00C555E5">
            <w:pPr>
              <w:pStyle w:val="Level1Body"/>
              <w:jc w:val="left"/>
              <w:rPr>
                <w:color w:val="auto"/>
                <w:sz w:val="18"/>
                <w:szCs w:val="18"/>
              </w:rPr>
            </w:pPr>
          </w:p>
          <w:p w14:paraId="66955599" w14:textId="14AB9133" w:rsidR="00D573D3" w:rsidRPr="00BC00C7" w:rsidRDefault="00D573D3" w:rsidP="001D6808">
            <w:pPr>
              <w:pStyle w:val="Level1Body"/>
              <w:jc w:val="left"/>
              <w:rPr>
                <w:color w:val="4472C4" w:themeColor="accent1"/>
              </w:rPr>
            </w:pPr>
            <w:hyperlink r:id="rId7" w:history="1">
              <w:r w:rsidRPr="00BC00C7">
                <w:rPr>
                  <w:rStyle w:val="Hyperlink"/>
                  <w:color w:val="4472C4" w:themeColor="accent1"/>
                </w:rPr>
                <w:t>https://www.energy.gov/scep/home-energy-rebates-programs</w:t>
              </w:r>
            </w:hyperlink>
          </w:p>
        </w:tc>
      </w:tr>
      <w:tr w:rsidR="00D573D3" w14:paraId="6EC767DB" w14:textId="77777777" w:rsidTr="009E4338">
        <w:tc>
          <w:tcPr>
            <w:tcW w:w="937" w:type="dxa"/>
          </w:tcPr>
          <w:p w14:paraId="01CB8DAE" w14:textId="77777777" w:rsidR="00932B83" w:rsidRPr="00C555E5" w:rsidRDefault="00932B83" w:rsidP="00C555E5">
            <w:pPr>
              <w:pStyle w:val="Level1Body"/>
            </w:pPr>
            <w:r w:rsidRPr="00C555E5">
              <w:t>2.</w:t>
            </w:r>
          </w:p>
        </w:tc>
        <w:tc>
          <w:tcPr>
            <w:tcW w:w="1657" w:type="dxa"/>
          </w:tcPr>
          <w:p w14:paraId="7906F797" w14:textId="77777777" w:rsidR="00932B83" w:rsidRPr="00C555E5" w:rsidRDefault="00932B83" w:rsidP="00C555E5">
            <w:pPr>
              <w:pStyle w:val="Level1Body"/>
            </w:pPr>
          </w:p>
        </w:tc>
        <w:tc>
          <w:tcPr>
            <w:tcW w:w="876" w:type="dxa"/>
          </w:tcPr>
          <w:p w14:paraId="1B556295" w14:textId="77777777" w:rsidR="00932B83" w:rsidRPr="00C555E5" w:rsidRDefault="00932B83" w:rsidP="00C555E5">
            <w:pPr>
              <w:pStyle w:val="Level1Body"/>
            </w:pPr>
          </w:p>
        </w:tc>
        <w:tc>
          <w:tcPr>
            <w:tcW w:w="3455" w:type="dxa"/>
          </w:tcPr>
          <w:p w14:paraId="35B3A8F3" w14:textId="1C95BF75" w:rsidR="00932B83" w:rsidRPr="00C555E5" w:rsidRDefault="00F92CCF" w:rsidP="00E074E7">
            <w:pPr>
              <w:jc w:val="left"/>
            </w:pPr>
            <w:r w:rsidRPr="00C555E5">
              <w:t>Is this project part of the One Red initiative, or are they separate?</w:t>
            </w:r>
          </w:p>
        </w:tc>
        <w:tc>
          <w:tcPr>
            <w:tcW w:w="4500" w:type="dxa"/>
          </w:tcPr>
          <w:p w14:paraId="48653C4E" w14:textId="576A69F3" w:rsidR="00D573D3" w:rsidRPr="006D2B15" w:rsidRDefault="00D573D3" w:rsidP="00C555E5">
            <w:pPr>
              <w:pStyle w:val="Level1Body"/>
              <w:jc w:val="left"/>
              <w:rPr>
                <w:color w:val="auto"/>
              </w:rPr>
            </w:pPr>
            <w:r w:rsidRPr="006D2B15">
              <w:rPr>
                <w:color w:val="auto"/>
              </w:rPr>
              <w:t xml:space="preserve">The </w:t>
            </w:r>
            <w:r w:rsidRPr="006D2B15">
              <w:rPr>
                <w:i/>
                <w:iCs/>
                <w:color w:val="auto"/>
              </w:rPr>
              <w:t>Home Energy Rebates Programs</w:t>
            </w:r>
            <w:r w:rsidRPr="006D2B15">
              <w:rPr>
                <w:color w:val="auto"/>
              </w:rPr>
              <w:t xml:space="preserve"> are not part of the One Red initiative. </w:t>
            </w:r>
          </w:p>
        </w:tc>
      </w:tr>
      <w:tr w:rsidR="009E4338" w14:paraId="1C5F2609" w14:textId="77777777" w:rsidTr="009E4338">
        <w:tc>
          <w:tcPr>
            <w:tcW w:w="937" w:type="dxa"/>
          </w:tcPr>
          <w:p w14:paraId="72E82F7F" w14:textId="77777777" w:rsidR="00932B83" w:rsidRPr="00C555E5" w:rsidRDefault="00932B83" w:rsidP="00C555E5">
            <w:pPr>
              <w:pStyle w:val="Level1Body"/>
            </w:pPr>
            <w:r w:rsidRPr="00C555E5">
              <w:t>3.</w:t>
            </w:r>
          </w:p>
        </w:tc>
        <w:tc>
          <w:tcPr>
            <w:tcW w:w="1657" w:type="dxa"/>
          </w:tcPr>
          <w:p w14:paraId="50730D8D" w14:textId="77777777" w:rsidR="00932B83" w:rsidRPr="00C555E5" w:rsidRDefault="00932B83" w:rsidP="00C555E5">
            <w:pPr>
              <w:pStyle w:val="Level1Body"/>
            </w:pPr>
          </w:p>
        </w:tc>
        <w:tc>
          <w:tcPr>
            <w:tcW w:w="876" w:type="dxa"/>
          </w:tcPr>
          <w:p w14:paraId="68DBC225" w14:textId="77777777" w:rsidR="00932B83" w:rsidRPr="00C555E5" w:rsidRDefault="00932B83" w:rsidP="00C555E5">
            <w:pPr>
              <w:pStyle w:val="Level1Body"/>
            </w:pPr>
          </w:p>
        </w:tc>
        <w:tc>
          <w:tcPr>
            <w:tcW w:w="3455" w:type="dxa"/>
          </w:tcPr>
          <w:p w14:paraId="51B4032C" w14:textId="37DEAB7E" w:rsidR="00932B83" w:rsidRPr="00C555E5" w:rsidRDefault="00F92CCF" w:rsidP="00E074E7">
            <w:pPr>
              <w:jc w:val="left"/>
            </w:pPr>
            <w:r w:rsidRPr="00C555E5">
              <w:t>Is there an anticipated value of this RFP, either in a fixed dollar amount or as a percentage of the total funding available (≈$90M)?</w:t>
            </w:r>
          </w:p>
        </w:tc>
        <w:tc>
          <w:tcPr>
            <w:tcW w:w="4500" w:type="dxa"/>
          </w:tcPr>
          <w:p w14:paraId="1F5C8BDD" w14:textId="58114F88" w:rsidR="00234D97" w:rsidRPr="006D2B15" w:rsidRDefault="001811C2" w:rsidP="00C555E5">
            <w:pPr>
              <w:pStyle w:val="Level1Body"/>
              <w:jc w:val="left"/>
              <w:rPr>
                <w:color w:val="auto"/>
              </w:rPr>
            </w:pPr>
            <w:r w:rsidRPr="006D2B15">
              <w:rPr>
                <w:color w:val="auto"/>
              </w:rPr>
              <w:t xml:space="preserve">There is not </w:t>
            </w:r>
            <w:r w:rsidR="004B3DDD" w:rsidRPr="006D2B15">
              <w:rPr>
                <w:color w:val="auto"/>
              </w:rPr>
              <w:t>a</w:t>
            </w:r>
            <w:r w:rsidR="00A431C9" w:rsidRPr="006D2B15">
              <w:rPr>
                <w:color w:val="auto"/>
              </w:rPr>
              <w:t xml:space="preserve"> </w:t>
            </w:r>
            <w:r w:rsidR="004B3DDD" w:rsidRPr="006D2B15">
              <w:rPr>
                <w:color w:val="auto"/>
              </w:rPr>
              <w:t xml:space="preserve">predetermined </w:t>
            </w:r>
            <w:r w:rsidR="006D2B15">
              <w:rPr>
                <w:color w:val="auto"/>
              </w:rPr>
              <w:t xml:space="preserve">project </w:t>
            </w:r>
            <w:r w:rsidRPr="006D2B15">
              <w:rPr>
                <w:color w:val="auto"/>
              </w:rPr>
              <w:t>value of this RFP.</w:t>
            </w:r>
            <w:r w:rsidR="00234D97" w:rsidRPr="006D2B15">
              <w:rPr>
                <w:color w:val="auto"/>
              </w:rPr>
              <w:t xml:space="preserve"> </w:t>
            </w:r>
            <w:r w:rsidR="004B3DDD" w:rsidRPr="006D2B15">
              <w:rPr>
                <w:color w:val="auto"/>
              </w:rPr>
              <w:t xml:space="preserve">However, the Cost </w:t>
            </w:r>
            <w:r w:rsidR="006D2B15">
              <w:rPr>
                <w:color w:val="auto"/>
              </w:rPr>
              <w:t xml:space="preserve">Sheet </w:t>
            </w:r>
            <w:r w:rsidR="00E074E7">
              <w:rPr>
                <w:color w:val="auto"/>
              </w:rPr>
              <w:t>i</w:t>
            </w:r>
            <w:r w:rsidR="004B3DDD" w:rsidRPr="006D2B15">
              <w:rPr>
                <w:color w:val="auto"/>
              </w:rPr>
              <w:t>s a component of the evaluation criteria.</w:t>
            </w:r>
          </w:p>
          <w:p w14:paraId="364A30D7" w14:textId="77777777" w:rsidR="004B3DDD" w:rsidRPr="002377F5" w:rsidRDefault="004B3DDD" w:rsidP="00C555E5">
            <w:pPr>
              <w:pStyle w:val="Level1Body"/>
              <w:jc w:val="left"/>
              <w:rPr>
                <w:color w:val="auto"/>
                <w:sz w:val="18"/>
                <w:szCs w:val="18"/>
              </w:rPr>
            </w:pPr>
          </w:p>
          <w:p w14:paraId="01EA80E3" w14:textId="295D7DA0" w:rsidR="004B3DDD" w:rsidRPr="006D2B15" w:rsidRDefault="004B3DDD" w:rsidP="00C555E5">
            <w:pPr>
              <w:pStyle w:val="Level1Body"/>
              <w:jc w:val="left"/>
              <w:rPr>
                <w:color w:val="auto"/>
              </w:rPr>
            </w:pPr>
            <w:r w:rsidRPr="006D2B15">
              <w:rPr>
                <w:color w:val="auto"/>
              </w:rPr>
              <w:t>Also</w:t>
            </w:r>
            <w:r w:rsidR="006D2B15">
              <w:rPr>
                <w:color w:val="auto"/>
              </w:rPr>
              <w:t>,</w:t>
            </w:r>
            <w:r w:rsidRPr="006D2B15">
              <w:rPr>
                <w:color w:val="auto"/>
              </w:rPr>
              <w:t xml:space="preserve"> note that b</w:t>
            </w:r>
            <w:r w:rsidR="00234D97" w:rsidRPr="006D2B15">
              <w:rPr>
                <w:color w:val="auto"/>
              </w:rPr>
              <w:t>oth Section 50121 and 50122 state that</w:t>
            </w:r>
            <w:r w:rsidR="003D4DB5" w:rsidRPr="006D2B15">
              <w:rPr>
                <w:color w:val="auto"/>
              </w:rPr>
              <w:t xml:space="preserve"> NDEE </w:t>
            </w:r>
            <w:r w:rsidR="00234D97" w:rsidRPr="006D2B15">
              <w:rPr>
                <w:color w:val="auto"/>
              </w:rPr>
              <w:t>shall use not more than 20 percent of the grant amounts for planning, administration, or technical assistance.</w:t>
            </w:r>
          </w:p>
        </w:tc>
      </w:tr>
      <w:tr w:rsidR="00D573D3" w14:paraId="754B3025" w14:textId="77777777" w:rsidTr="009E4338">
        <w:tc>
          <w:tcPr>
            <w:tcW w:w="937" w:type="dxa"/>
          </w:tcPr>
          <w:p w14:paraId="0942E923" w14:textId="77777777" w:rsidR="00932B83" w:rsidRPr="00C555E5" w:rsidRDefault="00932B83" w:rsidP="00C555E5">
            <w:pPr>
              <w:pStyle w:val="Level1Body"/>
            </w:pPr>
            <w:r w:rsidRPr="00C555E5">
              <w:t>4.</w:t>
            </w:r>
          </w:p>
        </w:tc>
        <w:tc>
          <w:tcPr>
            <w:tcW w:w="1657" w:type="dxa"/>
          </w:tcPr>
          <w:p w14:paraId="66F6A13B" w14:textId="6C1F50D9" w:rsidR="00932B83" w:rsidRPr="00C555E5" w:rsidRDefault="00F92CCF" w:rsidP="00C555E5">
            <w:pPr>
              <w:pStyle w:val="Level1Body"/>
            </w:pPr>
            <w:r w:rsidRPr="00C555E5">
              <w:t>IV.A.</w:t>
            </w:r>
          </w:p>
        </w:tc>
        <w:tc>
          <w:tcPr>
            <w:tcW w:w="876" w:type="dxa"/>
          </w:tcPr>
          <w:p w14:paraId="1E943325" w14:textId="77777777" w:rsidR="00932B83" w:rsidRPr="00C555E5" w:rsidRDefault="00932B83" w:rsidP="00C555E5">
            <w:pPr>
              <w:pStyle w:val="Level1Body"/>
            </w:pPr>
          </w:p>
        </w:tc>
        <w:tc>
          <w:tcPr>
            <w:tcW w:w="3455" w:type="dxa"/>
          </w:tcPr>
          <w:p w14:paraId="367ADCB2" w14:textId="06A7CF44" w:rsidR="00932B83" w:rsidRPr="00C555E5" w:rsidRDefault="00F92CCF" w:rsidP="00E074E7">
            <w:pPr>
              <w:jc w:val="left"/>
            </w:pPr>
            <w:r w:rsidRPr="00C555E5">
              <w:t xml:space="preserve">….is there an expectation that </w:t>
            </w:r>
            <w:bookmarkStart w:id="1" w:name="OLE_LINK1"/>
            <w:r w:rsidRPr="00C555E5">
              <w:t xml:space="preserve">work can be divided into sub-tasks and requirements so </w:t>
            </w:r>
            <w:bookmarkEnd w:id="1"/>
            <w:r w:rsidRPr="00C555E5">
              <w:t>that payment can be received periodically during the course of the project for work completed?  The total scope will require multiple months, and potentially multiple years, to execute so complete payment at the end of the total project may create challenges.</w:t>
            </w:r>
          </w:p>
        </w:tc>
        <w:tc>
          <w:tcPr>
            <w:tcW w:w="4500" w:type="dxa"/>
          </w:tcPr>
          <w:p w14:paraId="227172BB" w14:textId="293425BA" w:rsidR="00932B83" w:rsidRPr="00BC00C7" w:rsidRDefault="00BC00C7" w:rsidP="00C555E5">
            <w:pPr>
              <w:pStyle w:val="Level1Body"/>
              <w:jc w:val="left"/>
              <w:rPr>
                <w:color w:val="4472C4" w:themeColor="accent1"/>
              </w:rPr>
            </w:pPr>
            <w:r w:rsidRPr="002377F5">
              <w:rPr>
                <w:color w:val="auto"/>
              </w:rPr>
              <w:t>Yes, work can be divided into sub-tasks and requirements so that payment</w:t>
            </w:r>
            <w:r w:rsidR="00A431C9" w:rsidRPr="002377F5">
              <w:rPr>
                <w:color w:val="auto"/>
              </w:rPr>
              <w:t xml:space="preserve"> can be received </w:t>
            </w:r>
            <w:r w:rsidR="002377F5" w:rsidRPr="002377F5">
              <w:rPr>
                <w:color w:val="auto"/>
              </w:rPr>
              <w:t>p</w:t>
            </w:r>
            <w:r w:rsidR="00A431C9" w:rsidRPr="002377F5">
              <w:rPr>
                <w:color w:val="auto"/>
              </w:rPr>
              <w:t xml:space="preserve">eriodically </w:t>
            </w:r>
            <w:r w:rsidR="004B3DDD" w:rsidRPr="002377F5">
              <w:rPr>
                <w:color w:val="auto"/>
              </w:rPr>
              <w:t>during</w:t>
            </w:r>
            <w:r w:rsidR="00A431C9" w:rsidRPr="002377F5">
              <w:rPr>
                <w:color w:val="auto"/>
              </w:rPr>
              <w:t xml:space="preserve"> the project for work completed.</w:t>
            </w:r>
          </w:p>
        </w:tc>
      </w:tr>
    </w:tbl>
    <w:p w14:paraId="002FAAA1" w14:textId="77777777" w:rsidR="009E4338" w:rsidRDefault="009E4338">
      <w:r>
        <w:br w:type="page"/>
      </w:r>
    </w:p>
    <w:tbl>
      <w:tblPr>
        <w:tblStyle w:val="TableGrid"/>
        <w:tblpPr w:leftFromText="180" w:rightFromText="180" w:vertAnchor="text" w:horzAnchor="margin" w:tblpX="-1000" w:tblpY="161"/>
        <w:tblW w:w="11425" w:type="dxa"/>
        <w:tblLayout w:type="fixed"/>
        <w:tblLook w:val="04A0" w:firstRow="1" w:lastRow="0" w:firstColumn="1" w:lastColumn="0" w:noHBand="0" w:noVBand="1"/>
      </w:tblPr>
      <w:tblGrid>
        <w:gridCol w:w="937"/>
        <w:gridCol w:w="1657"/>
        <w:gridCol w:w="876"/>
        <w:gridCol w:w="3455"/>
        <w:gridCol w:w="4500"/>
      </w:tblGrid>
      <w:tr w:rsidR="00D573D3" w14:paraId="7A4367C1" w14:textId="77777777" w:rsidTr="009E4338">
        <w:tc>
          <w:tcPr>
            <w:tcW w:w="937" w:type="dxa"/>
          </w:tcPr>
          <w:p w14:paraId="6082EED4" w14:textId="5CE60A8D" w:rsidR="00932B83" w:rsidRPr="00C555E5" w:rsidRDefault="00932B83" w:rsidP="00C555E5">
            <w:pPr>
              <w:pStyle w:val="Level1Body"/>
            </w:pPr>
            <w:r w:rsidRPr="00C555E5">
              <w:t>5.</w:t>
            </w:r>
          </w:p>
        </w:tc>
        <w:tc>
          <w:tcPr>
            <w:tcW w:w="1657" w:type="dxa"/>
          </w:tcPr>
          <w:p w14:paraId="1A1130BB" w14:textId="77777777" w:rsidR="00932B83" w:rsidRPr="00C555E5" w:rsidRDefault="00932B83" w:rsidP="00C555E5">
            <w:pPr>
              <w:pStyle w:val="Level1Body"/>
            </w:pPr>
          </w:p>
        </w:tc>
        <w:tc>
          <w:tcPr>
            <w:tcW w:w="876" w:type="dxa"/>
          </w:tcPr>
          <w:p w14:paraId="20873720" w14:textId="77777777" w:rsidR="00932B83" w:rsidRPr="00C555E5" w:rsidRDefault="00932B83" w:rsidP="00C555E5">
            <w:pPr>
              <w:pStyle w:val="Level1Body"/>
            </w:pPr>
          </w:p>
        </w:tc>
        <w:tc>
          <w:tcPr>
            <w:tcW w:w="3455" w:type="dxa"/>
          </w:tcPr>
          <w:p w14:paraId="2CC1B7FD" w14:textId="77777777" w:rsidR="00C555E5" w:rsidRDefault="00C555E5" w:rsidP="00E074E7">
            <w:pPr>
              <w:pStyle w:val="Level1Body"/>
              <w:jc w:val="left"/>
            </w:pPr>
            <w:r w:rsidRPr="00C555E5">
              <w:t xml:space="preserve">Would Nebraska consider extending the Solicitation Opening date that is presently January 21, 2025? </w:t>
            </w:r>
          </w:p>
          <w:p w14:paraId="31B8575C" w14:textId="77777777" w:rsidR="00C555E5" w:rsidRPr="00E074E7" w:rsidRDefault="00C555E5" w:rsidP="00E074E7">
            <w:pPr>
              <w:pStyle w:val="Level1Body"/>
              <w:jc w:val="left"/>
              <w:rPr>
                <w:sz w:val="18"/>
                <w:szCs w:val="18"/>
              </w:rPr>
            </w:pPr>
          </w:p>
          <w:p w14:paraId="7E5A7B25" w14:textId="73941A82" w:rsidR="00932B83" w:rsidRPr="00C555E5" w:rsidRDefault="00C555E5" w:rsidP="00E074E7">
            <w:pPr>
              <w:pStyle w:val="Level1Body"/>
              <w:jc w:val="left"/>
            </w:pPr>
            <w:r w:rsidRPr="00C555E5">
              <w:t>Our reason</w:t>
            </w:r>
            <w:r>
              <w:t xml:space="preserve"> </w:t>
            </w:r>
            <w:r w:rsidRPr="00C555E5">
              <w:t>for asking is that a question addendum will not be posted until January 14, leaving only three business days for</w:t>
            </w:r>
            <w:r>
              <w:t xml:space="preserve"> </w:t>
            </w:r>
            <w:r w:rsidRPr="00C555E5">
              <w:t>edits since January 20, 2025, is a federal holiday.</w:t>
            </w:r>
          </w:p>
        </w:tc>
        <w:tc>
          <w:tcPr>
            <w:tcW w:w="4500" w:type="dxa"/>
          </w:tcPr>
          <w:p w14:paraId="7033474E" w14:textId="1F3B6116" w:rsidR="00932B83" w:rsidRPr="002377F5" w:rsidRDefault="00A431C9" w:rsidP="00C555E5">
            <w:pPr>
              <w:pStyle w:val="Level1Body"/>
              <w:jc w:val="left"/>
              <w:rPr>
                <w:color w:val="auto"/>
              </w:rPr>
            </w:pPr>
            <w:r w:rsidRPr="002377F5">
              <w:rPr>
                <w:color w:val="auto"/>
              </w:rPr>
              <w:t>NDEE will not be extending the Solicitation Opening date.</w:t>
            </w:r>
          </w:p>
        </w:tc>
      </w:tr>
      <w:tr w:rsidR="00D573D3" w14:paraId="3458CC2A" w14:textId="77777777" w:rsidTr="009E4338">
        <w:tc>
          <w:tcPr>
            <w:tcW w:w="937" w:type="dxa"/>
          </w:tcPr>
          <w:p w14:paraId="59F3888B" w14:textId="64C61A69" w:rsidR="00C555E5" w:rsidRPr="00E074E7" w:rsidRDefault="00C555E5" w:rsidP="00C555E5">
            <w:pPr>
              <w:pStyle w:val="Level1Body"/>
              <w:rPr>
                <w:color w:val="auto"/>
              </w:rPr>
            </w:pPr>
            <w:r w:rsidRPr="00E074E7">
              <w:rPr>
                <w:color w:val="auto"/>
              </w:rPr>
              <w:t>6.</w:t>
            </w:r>
          </w:p>
        </w:tc>
        <w:tc>
          <w:tcPr>
            <w:tcW w:w="1657" w:type="dxa"/>
          </w:tcPr>
          <w:p w14:paraId="6ECA22C5" w14:textId="048A8081" w:rsidR="00C555E5" w:rsidRPr="00C555E5" w:rsidRDefault="00C555E5" w:rsidP="00C555E5">
            <w:pPr>
              <w:pStyle w:val="Level1Body"/>
              <w:jc w:val="left"/>
            </w:pPr>
            <w:r>
              <w:t>C: Scope of Work &amp; F: Deliverables, Part I Program Desing and Stakeholder Strategy</w:t>
            </w:r>
          </w:p>
        </w:tc>
        <w:tc>
          <w:tcPr>
            <w:tcW w:w="876" w:type="dxa"/>
          </w:tcPr>
          <w:p w14:paraId="5BA4DD72" w14:textId="507098F9" w:rsidR="00C555E5" w:rsidRPr="00C555E5" w:rsidRDefault="00C555E5" w:rsidP="00C555E5">
            <w:pPr>
              <w:pStyle w:val="Level1Body"/>
            </w:pPr>
            <w:r>
              <w:t>25-27</w:t>
            </w:r>
          </w:p>
        </w:tc>
        <w:tc>
          <w:tcPr>
            <w:tcW w:w="3455" w:type="dxa"/>
          </w:tcPr>
          <w:p w14:paraId="5ED03E3F" w14:textId="0AA96692" w:rsidR="00C555E5" w:rsidRPr="00C555E5" w:rsidRDefault="00C555E5" w:rsidP="00E074E7">
            <w:pPr>
              <w:pStyle w:val="Level1Body"/>
              <w:jc w:val="left"/>
            </w:pPr>
            <w:r>
              <w:t>Given the short window between proposal submission due January 25, 2025 and the DOE application deadline of January 31, 2025 and contract award not anticipated until March 2025, has NDEE started preparing the application narratives, data, analysis, or budgets for either the HEAR or HOMES programs?</w:t>
            </w:r>
          </w:p>
        </w:tc>
        <w:tc>
          <w:tcPr>
            <w:tcW w:w="4500" w:type="dxa"/>
          </w:tcPr>
          <w:p w14:paraId="27C59731" w14:textId="2434B89F" w:rsidR="00C555E5" w:rsidRPr="002377F5" w:rsidRDefault="00A431C9" w:rsidP="00C555E5">
            <w:pPr>
              <w:pStyle w:val="Level1Body"/>
              <w:jc w:val="left"/>
              <w:rPr>
                <w:color w:val="auto"/>
              </w:rPr>
            </w:pPr>
            <w:r w:rsidRPr="002377F5">
              <w:rPr>
                <w:color w:val="auto"/>
              </w:rPr>
              <w:t xml:space="preserve">NDEE has submitted a program narrative and budget </w:t>
            </w:r>
            <w:r w:rsidR="00123ED3" w:rsidRPr="002377F5">
              <w:rPr>
                <w:color w:val="auto"/>
              </w:rPr>
              <w:t xml:space="preserve">along with other required information to meet the January 25, 2025, application deadline. </w:t>
            </w:r>
          </w:p>
          <w:p w14:paraId="33472DE3" w14:textId="77777777" w:rsidR="000600B0" w:rsidRPr="002377F5" w:rsidRDefault="000600B0" w:rsidP="00C555E5">
            <w:pPr>
              <w:pStyle w:val="Level1Body"/>
              <w:jc w:val="left"/>
              <w:rPr>
                <w:color w:val="auto"/>
                <w:sz w:val="18"/>
                <w:szCs w:val="18"/>
              </w:rPr>
            </w:pPr>
          </w:p>
          <w:p w14:paraId="75F0DCF0" w14:textId="097D9EF1" w:rsidR="00123ED3" w:rsidRPr="002377F5" w:rsidRDefault="00123ED3" w:rsidP="00C555E5">
            <w:pPr>
              <w:pStyle w:val="Level1Body"/>
              <w:jc w:val="left"/>
              <w:rPr>
                <w:color w:val="auto"/>
              </w:rPr>
            </w:pPr>
            <w:r w:rsidRPr="002377F5">
              <w:rPr>
                <w:color w:val="auto"/>
              </w:rPr>
              <w:t>NDEE has not submitted Implementation Blueprint Plans</w:t>
            </w:r>
            <w:r w:rsidR="00DE0468" w:rsidRPr="002377F5">
              <w:rPr>
                <w:color w:val="auto"/>
              </w:rPr>
              <w:t xml:space="preserve"> to DOE</w:t>
            </w:r>
            <w:r w:rsidRPr="002377F5">
              <w:rPr>
                <w:color w:val="auto"/>
              </w:rPr>
              <w:t xml:space="preserve"> which </w:t>
            </w:r>
            <w:r w:rsidR="00DE0468" w:rsidRPr="002377F5">
              <w:rPr>
                <w:color w:val="auto"/>
              </w:rPr>
              <w:t>are</w:t>
            </w:r>
            <w:r w:rsidRPr="002377F5">
              <w:rPr>
                <w:color w:val="auto"/>
              </w:rPr>
              <w:t xml:space="preserve"> required at least 60 days prior to program launch.</w:t>
            </w:r>
          </w:p>
        </w:tc>
      </w:tr>
      <w:tr w:rsidR="00D573D3" w14:paraId="52201CE5" w14:textId="77777777" w:rsidTr="009E4338">
        <w:tc>
          <w:tcPr>
            <w:tcW w:w="937" w:type="dxa"/>
          </w:tcPr>
          <w:p w14:paraId="7DD1608A" w14:textId="1568F315" w:rsidR="00C555E5" w:rsidRPr="00E074E7" w:rsidRDefault="00C555E5" w:rsidP="00C555E5">
            <w:pPr>
              <w:pStyle w:val="Level1Body"/>
              <w:rPr>
                <w:color w:val="auto"/>
              </w:rPr>
            </w:pPr>
            <w:r w:rsidRPr="00E074E7">
              <w:rPr>
                <w:color w:val="auto"/>
              </w:rPr>
              <w:t>7.</w:t>
            </w:r>
          </w:p>
        </w:tc>
        <w:tc>
          <w:tcPr>
            <w:tcW w:w="1657" w:type="dxa"/>
          </w:tcPr>
          <w:p w14:paraId="64719407" w14:textId="1FD0A7E9" w:rsidR="00C555E5" w:rsidRPr="00C555E5" w:rsidRDefault="00C555E5" w:rsidP="00C555E5">
            <w:pPr>
              <w:pStyle w:val="Level1Body"/>
              <w:jc w:val="left"/>
            </w:pPr>
            <w:r>
              <w:t>C: Scope of Work &amp; F: Deliverables, Part I Program Desing and Stakeholder Strategy</w:t>
            </w:r>
          </w:p>
        </w:tc>
        <w:tc>
          <w:tcPr>
            <w:tcW w:w="876" w:type="dxa"/>
          </w:tcPr>
          <w:p w14:paraId="7448C128" w14:textId="22C66A51" w:rsidR="00C555E5" w:rsidRPr="00C555E5" w:rsidRDefault="00C555E5" w:rsidP="00C555E5">
            <w:pPr>
              <w:pStyle w:val="Level1Body"/>
            </w:pPr>
            <w:r>
              <w:t>25-27</w:t>
            </w:r>
          </w:p>
        </w:tc>
        <w:tc>
          <w:tcPr>
            <w:tcW w:w="3455" w:type="dxa"/>
          </w:tcPr>
          <w:p w14:paraId="78932087" w14:textId="77777777" w:rsidR="002377F5" w:rsidRDefault="00C555E5" w:rsidP="00E074E7">
            <w:pPr>
              <w:pStyle w:val="Level1Body"/>
              <w:jc w:val="left"/>
            </w:pPr>
            <w:r>
              <w:t xml:space="preserve">Does NDEE have a preferred order in which programs are rolled out? </w:t>
            </w:r>
          </w:p>
          <w:p w14:paraId="105962D7" w14:textId="77777777" w:rsidR="002377F5" w:rsidRPr="00E074E7" w:rsidRDefault="002377F5" w:rsidP="00E074E7">
            <w:pPr>
              <w:pStyle w:val="Level1Body"/>
              <w:jc w:val="left"/>
              <w:rPr>
                <w:sz w:val="18"/>
                <w:szCs w:val="18"/>
              </w:rPr>
            </w:pPr>
          </w:p>
          <w:p w14:paraId="26271BF6" w14:textId="3F53E3DD" w:rsidR="00C555E5" w:rsidRPr="00C555E5" w:rsidRDefault="00C555E5" w:rsidP="00E074E7">
            <w:pPr>
              <w:pStyle w:val="Level1Body"/>
              <w:jc w:val="left"/>
            </w:pPr>
            <w:r>
              <w:t>Are you looking for a phased approach to each?</w:t>
            </w:r>
          </w:p>
        </w:tc>
        <w:tc>
          <w:tcPr>
            <w:tcW w:w="4500" w:type="dxa"/>
          </w:tcPr>
          <w:p w14:paraId="16DB96EF" w14:textId="77777777" w:rsidR="002377F5" w:rsidRPr="002377F5" w:rsidRDefault="00130DC1" w:rsidP="00C555E5">
            <w:pPr>
              <w:pStyle w:val="Level1Body"/>
              <w:jc w:val="left"/>
              <w:rPr>
                <w:color w:val="auto"/>
              </w:rPr>
            </w:pPr>
            <w:r w:rsidRPr="002377F5">
              <w:rPr>
                <w:color w:val="auto"/>
              </w:rPr>
              <w:t xml:space="preserve">NDEE does not have a preferred order. </w:t>
            </w:r>
          </w:p>
          <w:p w14:paraId="2A03EF4F" w14:textId="77777777" w:rsidR="002377F5" w:rsidRPr="002377F5" w:rsidRDefault="002377F5" w:rsidP="00C555E5">
            <w:pPr>
              <w:pStyle w:val="Level1Body"/>
              <w:jc w:val="left"/>
              <w:rPr>
                <w:color w:val="auto"/>
                <w:sz w:val="18"/>
                <w:szCs w:val="18"/>
              </w:rPr>
            </w:pPr>
          </w:p>
          <w:p w14:paraId="45686CBB" w14:textId="013A05FA" w:rsidR="00C555E5" w:rsidRPr="00130DC1" w:rsidRDefault="00130DC1" w:rsidP="00C555E5">
            <w:pPr>
              <w:pStyle w:val="Level1Body"/>
              <w:jc w:val="left"/>
              <w:rPr>
                <w:color w:val="4472C4" w:themeColor="accent1"/>
              </w:rPr>
            </w:pPr>
            <w:r w:rsidRPr="002377F5">
              <w:rPr>
                <w:color w:val="auto"/>
              </w:rPr>
              <w:t>A phased approach is acceptable for program rollout.</w:t>
            </w:r>
          </w:p>
        </w:tc>
      </w:tr>
      <w:tr w:rsidR="00D573D3" w14:paraId="2975A565" w14:textId="77777777" w:rsidTr="009E4338">
        <w:tc>
          <w:tcPr>
            <w:tcW w:w="937" w:type="dxa"/>
          </w:tcPr>
          <w:p w14:paraId="5B119BBA" w14:textId="65CD2FD4" w:rsidR="00C555E5" w:rsidRPr="00E074E7" w:rsidRDefault="00C555E5" w:rsidP="00C555E5">
            <w:pPr>
              <w:pStyle w:val="Level1Body"/>
              <w:rPr>
                <w:color w:val="auto"/>
              </w:rPr>
            </w:pPr>
            <w:r w:rsidRPr="00E074E7">
              <w:rPr>
                <w:color w:val="auto"/>
              </w:rPr>
              <w:t>8.</w:t>
            </w:r>
          </w:p>
        </w:tc>
        <w:tc>
          <w:tcPr>
            <w:tcW w:w="1657" w:type="dxa"/>
          </w:tcPr>
          <w:p w14:paraId="4D901A3E" w14:textId="047A16C8" w:rsidR="00C555E5" w:rsidRPr="00C555E5" w:rsidRDefault="00C555E5" w:rsidP="00C555E5">
            <w:pPr>
              <w:pStyle w:val="Level1Body"/>
              <w:jc w:val="left"/>
            </w:pPr>
            <w:r>
              <w:t>F: Deliverables, Part I Program Desing and Stakeholder Strategy &amp; Part IV Program Implementation</w:t>
            </w:r>
          </w:p>
        </w:tc>
        <w:tc>
          <w:tcPr>
            <w:tcW w:w="876" w:type="dxa"/>
          </w:tcPr>
          <w:p w14:paraId="2C4B970A" w14:textId="5AC8AB08" w:rsidR="00C555E5" w:rsidRPr="00C555E5" w:rsidRDefault="00C555E5" w:rsidP="00C555E5">
            <w:pPr>
              <w:pStyle w:val="Level1Body"/>
            </w:pPr>
            <w:r>
              <w:t>25-28</w:t>
            </w:r>
          </w:p>
        </w:tc>
        <w:tc>
          <w:tcPr>
            <w:tcW w:w="3455" w:type="dxa"/>
          </w:tcPr>
          <w:p w14:paraId="6AEE1E4A" w14:textId="5F562A78" w:rsidR="00C555E5" w:rsidRPr="00C555E5" w:rsidRDefault="00C555E5" w:rsidP="00E074E7">
            <w:pPr>
              <w:pStyle w:val="Level1Body"/>
              <w:jc w:val="left"/>
            </w:pPr>
            <w:r>
              <w:t>Does the State have existing programs that NDEE has identified as priorities for integration with the rebates (i.e., WAP)?</w:t>
            </w:r>
          </w:p>
        </w:tc>
        <w:tc>
          <w:tcPr>
            <w:tcW w:w="4500" w:type="dxa"/>
          </w:tcPr>
          <w:p w14:paraId="4C0CFDE9" w14:textId="2AE5CC65" w:rsidR="00C555E5" w:rsidRPr="00C555E5" w:rsidRDefault="00130DC1" w:rsidP="00C555E5">
            <w:pPr>
              <w:pStyle w:val="Level1Body"/>
              <w:jc w:val="left"/>
            </w:pPr>
            <w:r w:rsidRPr="002377F5">
              <w:rPr>
                <w:color w:val="auto"/>
              </w:rPr>
              <w:t>No existing programs have been identified as priorities for integration with rebates.</w:t>
            </w:r>
          </w:p>
        </w:tc>
      </w:tr>
      <w:tr w:rsidR="00D573D3" w14:paraId="666ECFB0" w14:textId="77777777" w:rsidTr="009E4338">
        <w:tc>
          <w:tcPr>
            <w:tcW w:w="937" w:type="dxa"/>
          </w:tcPr>
          <w:p w14:paraId="42189AC5" w14:textId="150B6B94" w:rsidR="00C555E5" w:rsidRPr="00E074E7" w:rsidRDefault="00C555E5" w:rsidP="00C555E5">
            <w:pPr>
              <w:pStyle w:val="Level1Body"/>
              <w:rPr>
                <w:color w:val="auto"/>
              </w:rPr>
            </w:pPr>
            <w:r w:rsidRPr="00E074E7">
              <w:rPr>
                <w:color w:val="auto"/>
              </w:rPr>
              <w:t>9.</w:t>
            </w:r>
          </w:p>
        </w:tc>
        <w:tc>
          <w:tcPr>
            <w:tcW w:w="1657" w:type="dxa"/>
          </w:tcPr>
          <w:p w14:paraId="44F63DED" w14:textId="07A83243" w:rsidR="00C555E5" w:rsidRPr="00C555E5" w:rsidRDefault="00C555E5" w:rsidP="00C555E5">
            <w:pPr>
              <w:pStyle w:val="Level1Body"/>
              <w:jc w:val="left"/>
            </w:pPr>
            <w:r>
              <w:t>F: Deliverables, Part I Program Desing and Stakeholder Strategy &amp; Part IV Program Implementation</w:t>
            </w:r>
          </w:p>
        </w:tc>
        <w:tc>
          <w:tcPr>
            <w:tcW w:w="876" w:type="dxa"/>
          </w:tcPr>
          <w:p w14:paraId="35B2818B" w14:textId="5A9CE0B2" w:rsidR="00C555E5" w:rsidRPr="00C555E5" w:rsidRDefault="00C555E5" w:rsidP="00C555E5">
            <w:pPr>
              <w:pStyle w:val="Level1Body"/>
            </w:pPr>
            <w:r>
              <w:t>25-28</w:t>
            </w:r>
          </w:p>
        </w:tc>
        <w:tc>
          <w:tcPr>
            <w:tcW w:w="3455" w:type="dxa"/>
          </w:tcPr>
          <w:p w14:paraId="1C20802C" w14:textId="4F64FAE2" w:rsidR="00C555E5" w:rsidRPr="00C555E5" w:rsidRDefault="00C555E5" w:rsidP="00E074E7">
            <w:pPr>
              <w:pStyle w:val="Level1Body"/>
              <w:jc w:val="left"/>
            </w:pPr>
            <w:r w:rsidRPr="00C20CC4">
              <w:t>Does NDEE have preliminary market data or assessments that can be leveraged, or should the contractor anticipate conducting all baselining work independently?</w:t>
            </w:r>
          </w:p>
        </w:tc>
        <w:tc>
          <w:tcPr>
            <w:tcW w:w="4500" w:type="dxa"/>
          </w:tcPr>
          <w:p w14:paraId="25E1E72F" w14:textId="03465BE6" w:rsidR="00C555E5" w:rsidRPr="00C555E5" w:rsidRDefault="00130DC1" w:rsidP="00C555E5">
            <w:pPr>
              <w:pStyle w:val="Level1Body"/>
              <w:jc w:val="left"/>
            </w:pPr>
            <w:r w:rsidRPr="002377F5">
              <w:rPr>
                <w:color w:val="auto"/>
              </w:rPr>
              <w:t>The contractor should anticipate conducting all baselining work independently.</w:t>
            </w:r>
          </w:p>
        </w:tc>
      </w:tr>
      <w:tr w:rsidR="009E4338" w14:paraId="3FA68082" w14:textId="77777777" w:rsidTr="009E4338">
        <w:tc>
          <w:tcPr>
            <w:tcW w:w="937" w:type="dxa"/>
          </w:tcPr>
          <w:p w14:paraId="339BE0E6" w14:textId="62A2E8C6" w:rsidR="00C555E5" w:rsidRPr="00E074E7" w:rsidRDefault="00C555E5" w:rsidP="00C555E5">
            <w:pPr>
              <w:pStyle w:val="Level1Body"/>
              <w:rPr>
                <w:color w:val="auto"/>
              </w:rPr>
            </w:pPr>
            <w:r w:rsidRPr="00E074E7">
              <w:rPr>
                <w:color w:val="auto"/>
              </w:rPr>
              <w:t>10.</w:t>
            </w:r>
          </w:p>
        </w:tc>
        <w:tc>
          <w:tcPr>
            <w:tcW w:w="1657" w:type="dxa"/>
          </w:tcPr>
          <w:p w14:paraId="7E0FB07E" w14:textId="6FF9915B" w:rsidR="00C555E5" w:rsidRDefault="00C555E5" w:rsidP="00C555E5">
            <w:pPr>
              <w:pStyle w:val="Level1Body"/>
              <w:jc w:val="left"/>
            </w:pPr>
            <w:r>
              <w:t>F: Deliverables, Part I Program Desing and Stakeholder Strategy &amp; Part IV Program Implementation</w:t>
            </w:r>
          </w:p>
        </w:tc>
        <w:tc>
          <w:tcPr>
            <w:tcW w:w="876" w:type="dxa"/>
          </w:tcPr>
          <w:p w14:paraId="3AF2C2EA" w14:textId="544A476B" w:rsidR="00C555E5" w:rsidRDefault="00C555E5" w:rsidP="00C555E5">
            <w:pPr>
              <w:pStyle w:val="Level1Body"/>
            </w:pPr>
            <w:r>
              <w:t>25-28</w:t>
            </w:r>
          </w:p>
        </w:tc>
        <w:tc>
          <w:tcPr>
            <w:tcW w:w="3455" w:type="dxa"/>
          </w:tcPr>
          <w:p w14:paraId="0E2C6FA4" w14:textId="40A2BB59" w:rsidR="00C555E5" w:rsidRDefault="00C555E5" w:rsidP="00E074E7">
            <w:pPr>
              <w:pStyle w:val="Level1Body"/>
              <w:jc w:val="left"/>
            </w:pPr>
            <w:r w:rsidRPr="00C20CC4">
              <w:t>What specific metrics or tools has NDEE identified for Justice40 compliance, and does the state already have baseline data for disadvantaged communities?</w:t>
            </w:r>
          </w:p>
        </w:tc>
        <w:tc>
          <w:tcPr>
            <w:tcW w:w="4500" w:type="dxa"/>
          </w:tcPr>
          <w:p w14:paraId="4091F052" w14:textId="77777777" w:rsidR="00C555E5" w:rsidRPr="00E074E7" w:rsidRDefault="00130DC1" w:rsidP="00C555E5">
            <w:pPr>
              <w:pStyle w:val="Level1Body"/>
              <w:jc w:val="left"/>
              <w:rPr>
                <w:color w:val="auto"/>
              </w:rPr>
            </w:pPr>
            <w:r w:rsidRPr="00E074E7">
              <w:rPr>
                <w:color w:val="auto"/>
              </w:rPr>
              <w:t>NDEE will use the Climate and Economic Justice Screening Tool (CEJST) for Justice 40 compliance and metrics.</w:t>
            </w:r>
          </w:p>
          <w:p w14:paraId="501D2640" w14:textId="77777777" w:rsidR="000963D1" w:rsidRPr="00E074E7" w:rsidRDefault="000963D1" w:rsidP="00C555E5">
            <w:pPr>
              <w:pStyle w:val="Level1Body"/>
              <w:jc w:val="left"/>
              <w:rPr>
                <w:color w:val="4472C4" w:themeColor="accent1"/>
                <w:sz w:val="18"/>
                <w:szCs w:val="18"/>
              </w:rPr>
            </w:pPr>
          </w:p>
          <w:p w14:paraId="59C397E1" w14:textId="353DD247" w:rsidR="000963D1" w:rsidRPr="00E074E7" w:rsidRDefault="000963D1" w:rsidP="00C555E5">
            <w:pPr>
              <w:pStyle w:val="Level1Body"/>
              <w:jc w:val="left"/>
              <w:rPr>
                <w:rFonts w:cs="Arial"/>
              </w:rPr>
            </w:pPr>
            <w:hyperlink r:id="rId8" w:anchor="3/33.47/-97.5" w:history="1">
              <w:r w:rsidRPr="00E074E7">
                <w:rPr>
                  <w:rStyle w:val="cf01"/>
                  <w:rFonts w:ascii="Arial" w:hAnsi="Arial" w:cs="Arial"/>
                  <w:color w:val="0000FF"/>
                  <w:sz w:val="20"/>
                  <w:szCs w:val="20"/>
                  <w:u w:val="single"/>
                </w:rPr>
                <w:t>https://screeningtool.geoplatform.gov/en/#3/33.47/-97.5</w:t>
              </w:r>
            </w:hyperlink>
          </w:p>
        </w:tc>
      </w:tr>
      <w:tr w:rsidR="00E7402F" w14:paraId="04B7F4DE" w14:textId="77777777" w:rsidTr="009E4338">
        <w:tc>
          <w:tcPr>
            <w:tcW w:w="937" w:type="dxa"/>
          </w:tcPr>
          <w:p w14:paraId="73ECBE4B" w14:textId="46D07013" w:rsidR="00E7402F" w:rsidRPr="00E074E7" w:rsidRDefault="00E7402F" w:rsidP="00E7402F">
            <w:pPr>
              <w:pStyle w:val="Level1Body"/>
              <w:rPr>
                <w:color w:val="auto"/>
              </w:rPr>
            </w:pPr>
            <w:r w:rsidRPr="00E074E7">
              <w:rPr>
                <w:color w:val="auto"/>
              </w:rPr>
              <w:t>11.</w:t>
            </w:r>
          </w:p>
        </w:tc>
        <w:tc>
          <w:tcPr>
            <w:tcW w:w="1657" w:type="dxa"/>
          </w:tcPr>
          <w:p w14:paraId="5C4D4372" w14:textId="5A8E0D34" w:rsidR="00E7402F" w:rsidRPr="00E074E7" w:rsidRDefault="00E7402F" w:rsidP="00E7402F">
            <w:pPr>
              <w:pStyle w:val="Level1Body"/>
              <w:jc w:val="left"/>
              <w:rPr>
                <w:color w:val="auto"/>
              </w:rPr>
            </w:pPr>
            <w:r w:rsidRPr="00E074E7">
              <w:rPr>
                <w:color w:val="auto"/>
              </w:rPr>
              <w:t>F: Deliverables, Part I Program Desing and Stakeholder Strategy &amp; Part IV Program Implementation</w:t>
            </w:r>
          </w:p>
        </w:tc>
        <w:tc>
          <w:tcPr>
            <w:tcW w:w="876" w:type="dxa"/>
          </w:tcPr>
          <w:p w14:paraId="1B216487" w14:textId="169D75A2" w:rsidR="00E7402F" w:rsidRPr="00E074E7" w:rsidRDefault="00E7402F" w:rsidP="00E7402F">
            <w:pPr>
              <w:pStyle w:val="Level1Body"/>
              <w:rPr>
                <w:color w:val="auto"/>
              </w:rPr>
            </w:pPr>
            <w:r w:rsidRPr="00E074E7">
              <w:rPr>
                <w:color w:val="auto"/>
              </w:rPr>
              <w:t>25-28</w:t>
            </w:r>
          </w:p>
        </w:tc>
        <w:tc>
          <w:tcPr>
            <w:tcW w:w="3455" w:type="dxa"/>
          </w:tcPr>
          <w:p w14:paraId="6B1A4909" w14:textId="7D425DD2" w:rsidR="00E7402F" w:rsidRPr="00E7402F" w:rsidRDefault="00E7402F" w:rsidP="00E074E7">
            <w:pPr>
              <w:pStyle w:val="Level1Body"/>
              <w:jc w:val="left"/>
              <w:rPr>
                <w:color w:val="FF0000"/>
              </w:rPr>
            </w:pPr>
            <w:r w:rsidRPr="00E074E7">
              <w:rPr>
                <w:color w:val="auto"/>
              </w:rPr>
              <w:t>Does the State have existing partnerships with electric companies and/or cooperatives which they would like to have partner as part of this program</w:t>
            </w:r>
          </w:p>
        </w:tc>
        <w:tc>
          <w:tcPr>
            <w:tcW w:w="4500" w:type="dxa"/>
          </w:tcPr>
          <w:p w14:paraId="6A70CEBC" w14:textId="1942B4A0" w:rsidR="00E7402F" w:rsidRPr="00130DC1" w:rsidRDefault="000963D1" w:rsidP="00E7402F">
            <w:pPr>
              <w:pStyle w:val="Level1Body"/>
              <w:jc w:val="left"/>
              <w:rPr>
                <w:color w:val="4472C4" w:themeColor="accent1"/>
              </w:rPr>
            </w:pPr>
            <w:r w:rsidRPr="00E074E7">
              <w:rPr>
                <w:color w:val="auto"/>
              </w:rPr>
              <w:t xml:space="preserve">The State does not have any existing formal partnerships with electric companies or cooperatives. NDEE does have </w:t>
            </w:r>
            <w:r w:rsidR="00821AEB" w:rsidRPr="00E074E7">
              <w:rPr>
                <w:color w:val="auto"/>
              </w:rPr>
              <w:t>informal working</w:t>
            </w:r>
            <w:r w:rsidRPr="00E074E7">
              <w:rPr>
                <w:color w:val="auto"/>
              </w:rPr>
              <w:t xml:space="preserve"> relationships with public electric utilities who provide incentive/rebate programs for heat pumps, electric appliances, &amp; etc.</w:t>
            </w:r>
          </w:p>
        </w:tc>
      </w:tr>
    </w:tbl>
    <w:p w14:paraId="1F915CCA" w14:textId="77777777" w:rsidR="009E4338" w:rsidRDefault="009E4338">
      <w:r>
        <w:br w:type="page"/>
      </w:r>
    </w:p>
    <w:tbl>
      <w:tblPr>
        <w:tblStyle w:val="TableGrid"/>
        <w:tblpPr w:leftFromText="180" w:rightFromText="180" w:vertAnchor="text" w:horzAnchor="margin" w:tblpX="-1000" w:tblpY="161"/>
        <w:tblW w:w="11425" w:type="dxa"/>
        <w:tblLayout w:type="fixed"/>
        <w:tblLook w:val="04A0" w:firstRow="1" w:lastRow="0" w:firstColumn="1" w:lastColumn="0" w:noHBand="0" w:noVBand="1"/>
      </w:tblPr>
      <w:tblGrid>
        <w:gridCol w:w="937"/>
        <w:gridCol w:w="1657"/>
        <w:gridCol w:w="876"/>
        <w:gridCol w:w="3455"/>
        <w:gridCol w:w="4500"/>
      </w:tblGrid>
      <w:tr w:rsidR="00E7402F" w14:paraId="7942ECCF" w14:textId="77777777" w:rsidTr="009E4338">
        <w:tc>
          <w:tcPr>
            <w:tcW w:w="937" w:type="dxa"/>
          </w:tcPr>
          <w:p w14:paraId="456E3E79" w14:textId="38FB6653" w:rsidR="00E7402F" w:rsidRPr="00E074E7" w:rsidRDefault="00E7402F" w:rsidP="00E7402F">
            <w:pPr>
              <w:pStyle w:val="Level1Body"/>
              <w:rPr>
                <w:color w:val="auto"/>
              </w:rPr>
            </w:pPr>
            <w:r w:rsidRPr="00E074E7">
              <w:rPr>
                <w:color w:val="auto"/>
              </w:rPr>
              <w:t>12.</w:t>
            </w:r>
          </w:p>
        </w:tc>
        <w:tc>
          <w:tcPr>
            <w:tcW w:w="1657" w:type="dxa"/>
          </w:tcPr>
          <w:p w14:paraId="315F8731" w14:textId="773F3D12" w:rsidR="00E7402F" w:rsidRDefault="00E7402F" w:rsidP="00E7402F">
            <w:pPr>
              <w:pStyle w:val="Level1Body"/>
              <w:jc w:val="left"/>
            </w:pPr>
            <w:r>
              <w:t>F: Deliverables</w:t>
            </w:r>
          </w:p>
        </w:tc>
        <w:tc>
          <w:tcPr>
            <w:tcW w:w="876" w:type="dxa"/>
          </w:tcPr>
          <w:p w14:paraId="38D23778" w14:textId="5016E302" w:rsidR="00E7402F" w:rsidRDefault="00E7402F" w:rsidP="00E7402F">
            <w:pPr>
              <w:pStyle w:val="Level1Body"/>
            </w:pPr>
            <w:r>
              <w:t>25-28</w:t>
            </w:r>
          </w:p>
        </w:tc>
        <w:tc>
          <w:tcPr>
            <w:tcW w:w="3455" w:type="dxa"/>
          </w:tcPr>
          <w:p w14:paraId="73A6DA2C" w14:textId="190FAD27" w:rsidR="00E7402F" w:rsidRDefault="00E7402F" w:rsidP="00E074E7">
            <w:pPr>
              <w:pStyle w:val="Level1Body"/>
              <w:jc w:val="left"/>
            </w:pPr>
            <w:r>
              <w:t>Are there immediate deliverables or timelines that need to be planned for (i.e., program planning and design completed within the first 90 days of contract execution, first program rolled out within 3-6 months of planning completion, etc.)?</w:t>
            </w:r>
          </w:p>
        </w:tc>
        <w:tc>
          <w:tcPr>
            <w:tcW w:w="4500" w:type="dxa"/>
          </w:tcPr>
          <w:p w14:paraId="7A4AC8F1" w14:textId="77777777" w:rsidR="00E7402F" w:rsidRPr="003D34BE" w:rsidRDefault="00E7402F" w:rsidP="00E7402F">
            <w:pPr>
              <w:pStyle w:val="Level1Body"/>
              <w:jc w:val="left"/>
              <w:rPr>
                <w:color w:val="auto"/>
              </w:rPr>
            </w:pPr>
            <w:r w:rsidRPr="003D34BE">
              <w:rPr>
                <w:color w:val="auto"/>
              </w:rPr>
              <w:t>There are no specific deliverables or timelines that need to be planned for.</w:t>
            </w:r>
          </w:p>
          <w:p w14:paraId="500975B5" w14:textId="77777777" w:rsidR="00E7402F" w:rsidRPr="00D71BC4" w:rsidRDefault="00E7402F" w:rsidP="00E7402F">
            <w:pPr>
              <w:pStyle w:val="Level1Body"/>
              <w:jc w:val="left"/>
              <w:rPr>
                <w:color w:val="auto"/>
                <w:sz w:val="18"/>
                <w:szCs w:val="18"/>
              </w:rPr>
            </w:pPr>
          </w:p>
          <w:p w14:paraId="630CB32F" w14:textId="29A314D1" w:rsidR="00E7402F" w:rsidRPr="003D34BE" w:rsidRDefault="00E7402F" w:rsidP="00E7402F">
            <w:pPr>
              <w:pStyle w:val="Level1Body"/>
              <w:jc w:val="left"/>
              <w:rPr>
                <w:color w:val="auto"/>
              </w:rPr>
            </w:pPr>
            <w:r w:rsidRPr="003D34BE">
              <w:rPr>
                <w:color w:val="auto"/>
              </w:rPr>
              <w:t xml:space="preserve">However, the </w:t>
            </w:r>
            <w:r w:rsidR="003D34BE">
              <w:rPr>
                <w:color w:val="auto"/>
              </w:rPr>
              <w:t>bidder’s</w:t>
            </w:r>
            <w:r w:rsidRPr="003D34BE">
              <w:rPr>
                <w:color w:val="auto"/>
              </w:rPr>
              <w:t xml:space="preserve"> ability to plan and meet key timelines will be evaluated. The </w:t>
            </w:r>
            <w:r w:rsidR="003D34BE">
              <w:rPr>
                <w:color w:val="auto"/>
              </w:rPr>
              <w:t xml:space="preserve">bidder </w:t>
            </w:r>
            <w:r w:rsidRPr="003D34BE">
              <w:rPr>
                <w:color w:val="auto"/>
              </w:rPr>
              <w:t>should provide details on their proposed goals for program implementation and delivery.</w:t>
            </w:r>
          </w:p>
        </w:tc>
      </w:tr>
      <w:tr w:rsidR="009E4338" w14:paraId="18E6BE3B" w14:textId="77777777" w:rsidTr="009E4338">
        <w:tc>
          <w:tcPr>
            <w:tcW w:w="937" w:type="dxa"/>
          </w:tcPr>
          <w:p w14:paraId="3DD6E2B0" w14:textId="7FE7BF18" w:rsidR="00E7402F" w:rsidRPr="00E074E7" w:rsidRDefault="00E7402F" w:rsidP="00E7402F">
            <w:pPr>
              <w:pStyle w:val="Level1Body"/>
              <w:rPr>
                <w:color w:val="auto"/>
              </w:rPr>
            </w:pPr>
            <w:r w:rsidRPr="00E074E7">
              <w:rPr>
                <w:color w:val="auto"/>
              </w:rPr>
              <w:t>13.</w:t>
            </w:r>
          </w:p>
        </w:tc>
        <w:tc>
          <w:tcPr>
            <w:tcW w:w="1657" w:type="dxa"/>
          </w:tcPr>
          <w:p w14:paraId="09727A74" w14:textId="77777777" w:rsidR="00E7402F" w:rsidRDefault="00E7402F" w:rsidP="00E7402F">
            <w:pPr>
              <w:jc w:val="left"/>
            </w:pPr>
            <w:r>
              <w:t xml:space="preserve">IV Solicitation Response Instructions - A Solicitation Response Submission - Section 2 Technical Response and </w:t>
            </w:r>
          </w:p>
          <w:p w14:paraId="77C35E90" w14:textId="07D059FC" w:rsidR="00E7402F" w:rsidRDefault="00E7402F" w:rsidP="00E7402F">
            <w:pPr>
              <w:pStyle w:val="Level1Body"/>
              <w:jc w:val="left"/>
            </w:pPr>
            <w:r>
              <w:t xml:space="preserve">Attachment A </w:t>
            </w:r>
          </w:p>
        </w:tc>
        <w:tc>
          <w:tcPr>
            <w:tcW w:w="876" w:type="dxa"/>
          </w:tcPr>
          <w:p w14:paraId="1D0FB858" w14:textId="5F18C19B" w:rsidR="00E7402F" w:rsidRDefault="00E7402F" w:rsidP="00E7402F">
            <w:pPr>
              <w:pStyle w:val="Level1Body"/>
              <w:jc w:val="left"/>
            </w:pPr>
            <w:r>
              <w:t>31</w:t>
            </w:r>
          </w:p>
        </w:tc>
        <w:tc>
          <w:tcPr>
            <w:tcW w:w="3455" w:type="dxa"/>
          </w:tcPr>
          <w:p w14:paraId="12BFF7DA" w14:textId="77777777" w:rsidR="00E7402F" w:rsidRDefault="00E7402F" w:rsidP="00E074E7">
            <w:pPr>
              <w:pStyle w:val="Level1Body"/>
              <w:jc w:val="left"/>
            </w:pPr>
            <w:r>
              <w:t xml:space="preserve">Outlines the order of the response requirements for the Technical Response Section, to include Proposed Development Approach and Technical Requirements (Attachment A). The information within both sections appears to be somewhat duplicative across the 143 questions. </w:t>
            </w:r>
          </w:p>
          <w:p w14:paraId="1BBEA753" w14:textId="77777777" w:rsidR="00D71BC4" w:rsidRPr="00E074E7" w:rsidRDefault="00D71BC4" w:rsidP="00E074E7">
            <w:pPr>
              <w:pStyle w:val="Level1Body"/>
              <w:jc w:val="left"/>
              <w:rPr>
                <w:sz w:val="18"/>
                <w:szCs w:val="18"/>
              </w:rPr>
            </w:pPr>
          </w:p>
          <w:p w14:paraId="7F1FCF86" w14:textId="5954514E" w:rsidR="00E7402F" w:rsidRDefault="00E7402F" w:rsidP="00E074E7">
            <w:pPr>
              <w:pStyle w:val="Level1Body"/>
              <w:jc w:val="left"/>
            </w:pPr>
            <w:r>
              <w:t xml:space="preserve">Can the State confirm what the difference is between the information requested in these two sections? </w:t>
            </w:r>
          </w:p>
        </w:tc>
        <w:tc>
          <w:tcPr>
            <w:tcW w:w="4500" w:type="dxa"/>
          </w:tcPr>
          <w:p w14:paraId="577B0723" w14:textId="44B29DF5" w:rsidR="00E7402F" w:rsidRPr="00D71BC4" w:rsidRDefault="00E7402F" w:rsidP="00E7402F">
            <w:pPr>
              <w:pStyle w:val="Level1Body"/>
              <w:jc w:val="left"/>
              <w:rPr>
                <w:color w:val="auto"/>
              </w:rPr>
            </w:pPr>
            <w:r w:rsidRPr="00D71BC4">
              <w:rPr>
                <w:color w:val="auto"/>
              </w:rPr>
              <w:t>For clarification on the Technical Response section:</w:t>
            </w:r>
          </w:p>
          <w:p w14:paraId="60F942DD" w14:textId="77777777" w:rsidR="00E7402F" w:rsidRPr="00D71BC4" w:rsidRDefault="00E7402F" w:rsidP="00E7402F">
            <w:pPr>
              <w:pStyle w:val="Level1Body"/>
              <w:jc w:val="left"/>
              <w:rPr>
                <w:color w:val="auto"/>
                <w:sz w:val="18"/>
                <w:szCs w:val="18"/>
              </w:rPr>
            </w:pPr>
          </w:p>
          <w:p w14:paraId="456705FA" w14:textId="1F73B16C" w:rsidR="00E7402F" w:rsidRDefault="00E7402F" w:rsidP="00E7402F">
            <w:pPr>
              <w:pStyle w:val="Level1Body"/>
              <w:jc w:val="left"/>
              <w:rPr>
                <w:color w:val="auto"/>
              </w:rPr>
            </w:pPr>
            <w:r w:rsidRPr="00D71BC4">
              <w:rPr>
                <w:color w:val="auto"/>
              </w:rPr>
              <w:t>The Technical Response section of the solicitation response should consist of the following subsections and completing Attachment A – Technical Requirements.</w:t>
            </w:r>
          </w:p>
          <w:p w14:paraId="4D0A6E5A" w14:textId="77777777" w:rsidR="00D71BC4" w:rsidRPr="00D71BC4" w:rsidRDefault="00D71BC4" w:rsidP="00E7402F">
            <w:pPr>
              <w:pStyle w:val="Level1Body"/>
              <w:jc w:val="left"/>
              <w:rPr>
                <w:color w:val="auto"/>
                <w:sz w:val="18"/>
                <w:szCs w:val="18"/>
              </w:rPr>
            </w:pPr>
          </w:p>
          <w:p w14:paraId="1C5D24E2" w14:textId="58AA7C69" w:rsidR="00E7402F" w:rsidRPr="00D71BC4" w:rsidRDefault="00E7402F" w:rsidP="00D71BC4">
            <w:pPr>
              <w:pStyle w:val="Level1Body"/>
              <w:numPr>
                <w:ilvl w:val="0"/>
                <w:numId w:val="2"/>
              </w:numPr>
              <w:ind w:left="318" w:hanging="270"/>
              <w:jc w:val="left"/>
              <w:rPr>
                <w:color w:val="auto"/>
              </w:rPr>
            </w:pPr>
            <w:r w:rsidRPr="00D71BC4">
              <w:rPr>
                <w:color w:val="auto"/>
              </w:rPr>
              <w:t>Understanding of the project requirements (Attachment A),</w:t>
            </w:r>
          </w:p>
          <w:p w14:paraId="3C5CBC82" w14:textId="1AC008E6" w:rsidR="00E7402F" w:rsidRPr="00D71BC4" w:rsidRDefault="00E7402F" w:rsidP="00D71BC4">
            <w:pPr>
              <w:pStyle w:val="Level1Body"/>
              <w:numPr>
                <w:ilvl w:val="0"/>
                <w:numId w:val="2"/>
              </w:numPr>
              <w:ind w:left="318" w:hanging="270"/>
              <w:jc w:val="left"/>
              <w:rPr>
                <w:color w:val="auto"/>
              </w:rPr>
            </w:pPr>
            <w:r w:rsidRPr="00D71BC4">
              <w:rPr>
                <w:color w:val="auto"/>
              </w:rPr>
              <w:t>Proposed development approach (Attachment A),</w:t>
            </w:r>
          </w:p>
          <w:p w14:paraId="4CB888DD" w14:textId="1186B53E" w:rsidR="00E7402F" w:rsidRPr="00D71BC4" w:rsidRDefault="00E7402F" w:rsidP="00D71BC4">
            <w:pPr>
              <w:pStyle w:val="Level1Body"/>
              <w:numPr>
                <w:ilvl w:val="0"/>
                <w:numId w:val="2"/>
              </w:numPr>
              <w:ind w:left="318" w:hanging="270"/>
              <w:jc w:val="left"/>
              <w:rPr>
                <w:color w:val="auto"/>
              </w:rPr>
            </w:pPr>
            <w:r w:rsidRPr="00D71BC4">
              <w:rPr>
                <w:color w:val="auto"/>
              </w:rPr>
              <w:t>Technical requirements (Attachment A),</w:t>
            </w:r>
          </w:p>
          <w:p w14:paraId="5E67649E" w14:textId="0A5CC349" w:rsidR="00E7402F" w:rsidRPr="00D71BC4" w:rsidRDefault="00E7402F" w:rsidP="00D71BC4">
            <w:pPr>
              <w:pStyle w:val="Level1Body"/>
              <w:numPr>
                <w:ilvl w:val="0"/>
                <w:numId w:val="2"/>
              </w:numPr>
              <w:ind w:left="318" w:hanging="270"/>
              <w:jc w:val="left"/>
              <w:rPr>
                <w:color w:val="auto"/>
              </w:rPr>
            </w:pPr>
            <w:r w:rsidRPr="00D71BC4">
              <w:rPr>
                <w:color w:val="auto"/>
              </w:rPr>
              <w:t>Detailed project work plan; and</w:t>
            </w:r>
          </w:p>
          <w:p w14:paraId="0269336E" w14:textId="06FB1E49" w:rsidR="00E7402F" w:rsidRPr="00D71BC4" w:rsidRDefault="00E7402F" w:rsidP="00D71BC4">
            <w:pPr>
              <w:pStyle w:val="Level1Body"/>
              <w:numPr>
                <w:ilvl w:val="0"/>
                <w:numId w:val="2"/>
              </w:numPr>
              <w:ind w:left="318" w:hanging="270"/>
              <w:jc w:val="left"/>
              <w:rPr>
                <w:color w:val="auto"/>
              </w:rPr>
            </w:pPr>
            <w:r w:rsidRPr="00D71BC4">
              <w:rPr>
                <w:color w:val="auto"/>
              </w:rPr>
              <w:t>Deliverables and due dates.</w:t>
            </w:r>
          </w:p>
        </w:tc>
      </w:tr>
      <w:tr w:rsidR="00E7402F" w14:paraId="016FC07E" w14:textId="77777777" w:rsidTr="009E4338">
        <w:tc>
          <w:tcPr>
            <w:tcW w:w="937" w:type="dxa"/>
          </w:tcPr>
          <w:p w14:paraId="0A162F88" w14:textId="6E0CCF7A" w:rsidR="00E7402F" w:rsidRPr="00E074E7" w:rsidRDefault="00E7402F" w:rsidP="00E7402F">
            <w:pPr>
              <w:pStyle w:val="Level1Body"/>
              <w:rPr>
                <w:color w:val="auto"/>
              </w:rPr>
            </w:pPr>
            <w:r w:rsidRPr="00E074E7">
              <w:rPr>
                <w:color w:val="auto"/>
              </w:rPr>
              <w:t>14.</w:t>
            </w:r>
          </w:p>
        </w:tc>
        <w:tc>
          <w:tcPr>
            <w:tcW w:w="1657" w:type="dxa"/>
          </w:tcPr>
          <w:p w14:paraId="102A30E0" w14:textId="452BACC8" w:rsidR="00E7402F" w:rsidRDefault="00E7402F" w:rsidP="00E7402F">
            <w:pPr>
              <w:pStyle w:val="Level1Body"/>
              <w:jc w:val="left"/>
            </w:pPr>
            <w:r>
              <w:t xml:space="preserve">VI Solicitation Response Instructions 2. Technical Response </w:t>
            </w:r>
          </w:p>
        </w:tc>
        <w:tc>
          <w:tcPr>
            <w:tcW w:w="876" w:type="dxa"/>
          </w:tcPr>
          <w:p w14:paraId="3DA1CB41" w14:textId="37905B89" w:rsidR="00E7402F" w:rsidRDefault="00E7402F" w:rsidP="00E7402F">
            <w:pPr>
              <w:pStyle w:val="Level1Body"/>
              <w:jc w:val="left"/>
            </w:pPr>
            <w:r>
              <w:t>31</w:t>
            </w:r>
          </w:p>
        </w:tc>
        <w:tc>
          <w:tcPr>
            <w:tcW w:w="3455" w:type="dxa"/>
          </w:tcPr>
          <w:p w14:paraId="02FF5A34" w14:textId="3814594F" w:rsidR="00E7402F" w:rsidRDefault="00E7402F" w:rsidP="00E074E7">
            <w:pPr>
              <w:pStyle w:val="Level1Body"/>
              <w:jc w:val="left"/>
            </w:pPr>
            <w:r w:rsidRPr="00A743D7">
              <w:t>What's the difference between Attachment A and Proposed Development Approach, much of the information appears to be requesting the same type of information across the 143 questions in Attachment A. </w:t>
            </w:r>
          </w:p>
        </w:tc>
        <w:tc>
          <w:tcPr>
            <w:tcW w:w="4500" w:type="dxa"/>
          </w:tcPr>
          <w:p w14:paraId="19342B59" w14:textId="4527C6CC" w:rsidR="00E7402F" w:rsidRPr="00425A70" w:rsidRDefault="009755F4" w:rsidP="00E074E7">
            <w:pPr>
              <w:pStyle w:val="Level1Body"/>
              <w:jc w:val="left"/>
              <w:rPr>
                <w:color w:val="4472C4" w:themeColor="accent1"/>
              </w:rPr>
            </w:pPr>
            <w:r w:rsidRPr="00E074E7">
              <w:rPr>
                <w:color w:val="auto"/>
              </w:rPr>
              <w:t xml:space="preserve">Refer to </w:t>
            </w:r>
            <w:r w:rsidR="00BC3F13" w:rsidRPr="00E074E7">
              <w:rPr>
                <w:color w:val="auto"/>
              </w:rPr>
              <w:t xml:space="preserve">the answer provided for </w:t>
            </w:r>
            <w:r w:rsidRPr="00E074E7">
              <w:rPr>
                <w:color w:val="auto"/>
              </w:rPr>
              <w:t>Question 13</w:t>
            </w:r>
            <w:r w:rsidR="00BC3F13" w:rsidRPr="00E074E7">
              <w:rPr>
                <w:color w:val="auto"/>
              </w:rPr>
              <w:t>.</w:t>
            </w:r>
          </w:p>
        </w:tc>
      </w:tr>
      <w:tr w:rsidR="00E7402F" w14:paraId="111F1A7B" w14:textId="77777777" w:rsidTr="009E4338">
        <w:tc>
          <w:tcPr>
            <w:tcW w:w="937" w:type="dxa"/>
          </w:tcPr>
          <w:p w14:paraId="69491091" w14:textId="095BFADD" w:rsidR="00E7402F" w:rsidRPr="00E074E7" w:rsidRDefault="00E7402F" w:rsidP="00E7402F">
            <w:pPr>
              <w:pStyle w:val="Level1Body"/>
              <w:rPr>
                <w:color w:val="auto"/>
              </w:rPr>
            </w:pPr>
            <w:r w:rsidRPr="00E074E7">
              <w:rPr>
                <w:color w:val="auto"/>
              </w:rPr>
              <w:t>1</w:t>
            </w:r>
            <w:r w:rsidR="002B57A8" w:rsidRPr="00E074E7">
              <w:rPr>
                <w:color w:val="auto"/>
              </w:rPr>
              <w:t>5</w:t>
            </w:r>
            <w:r w:rsidRPr="00E074E7">
              <w:rPr>
                <w:color w:val="auto"/>
              </w:rPr>
              <w:t>.</w:t>
            </w:r>
          </w:p>
        </w:tc>
        <w:tc>
          <w:tcPr>
            <w:tcW w:w="1657" w:type="dxa"/>
          </w:tcPr>
          <w:p w14:paraId="330D81F6" w14:textId="77777777" w:rsidR="00E7402F" w:rsidRDefault="00E7402F" w:rsidP="00E7402F">
            <w:pPr>
              <w:pStyle w:val="Level1Body"/>
              <w:jc w:val="left"/>
            </w:pPr>
          </w:p>
        </w:tc>
        <w:tc>
          <w:tcPr>
            <w:tcW w:w="876" w:type="dxa"/>
          </w:tcPr>
          <w:p w14:paraId="283F9ACD" w14:textId="77777777" w:rsidR="00E7402F" w:rsidRDefault="00E7402F" w:rsidP="00E7402F">
            <w:pPr>
              <w:pStyle w:val="Level1Body"/>
              <w:jc w:val="left"/>
            </w:pPr>
          </w:p>
        </w:tc>
        <w:tc>
          <w:tcPr>
            <w:tcW w:w="3455" w:type="dxa"/>
          </w:tcPr>
          <w:p w14:paraId="2B227B8C" w14:textId="7FB2EA8F" w:rsidR="00E7402F" w:rsidRDefault="00E7402F" w:rsidP="00E074E7">
            <w:pPr>
              <w:pStyle w:val="Level1Body"/>
              <w:jc w:val="left"/>
            </w:pPr>
            <w:r w:rsidRPr="00C20CC4">
              <w:t>Are there specific subcontractor types or qualifications that NDEE prefers for this project (e.g., local firms, MWBE-certified)?</w:t>
            </w:r>
          </w:p>
        </w:tc>
        <w:tc>
          <w:tcPr>
            <w:tcW w:w="4500" w:type="dxa"/>
          </w:tcPr>
          <w:p w14:paraId="64EA71DD" w14:textId="1C3564EA" w:rsidR="00E7402F" w:rsidRPr="00280EDB" w:rsidRDefault="00E7402F" w:rsidP="00E7402F">
            <w:pPr>
              <w:pStyle w:val="Level1Body"/>
              <w:jc w:val="left"/>
              <w:rPr>
                <w:color w:val="4472C4" w:themeColor="accent1"/>
              </w:rPr>
            </w:pPr>
            <w:r w:rsidRPr="0011589E">
              <w:rPr>
                <w:color w:val="auto"/>
              </w:rPr>
              <w:t>There are no specific subcontractor types or qualifications that NDEE requires for this project.</w:t>
            </w:r>
          </w:p>
        </w:tc>
      </w:tr>
      <w:tr w:rsidR="00E7402F" w14:paraId="39AA83FE" w14:textId="77777777" w:rsidTr="009E4338">
        <w:tc>
          <w:tcPr>
            <w:tcW w:w="937" w:type="dxa"/>
          </w:tcPr>
          <w:p w14:paraId="425714CC" w14:textId="177DF3E8" w:rsidR="00E7402F" w:rsidRPr="00E074E7" w:rsidRDefault="00E7402F" w:rsidP="00E7402F">
            <w:pPr>
              <w:pStyle w:val="Level1Body"/>
              <w:rPr>
                <w:color w:val="auto"/>
              </w:rPr>
            </w:pPr>
            <w:r w:rsidRPr="00E074E7">
              <w:rPr>
                <w:color w:val="auto"/>
              </w:rPr>
              <w:t>1</w:t>
            </w:r>
            <w:r w:rsidR="002B57A8" w:rsidRPr="00E074E7">
              <w:rPr>
                <w:color w:val="auto"/>
              </w:rPr>
              <w:t>6.</w:t>
            </w:r>
          </w:p>
        </w:tc>
        <w:tc>
          <w:tcPr>
            <w:tcW w:w="1657" w:type="dxa"/>
          </w:tcPr>
          <w:p w14:paraId="21C5AADB" w14:textId="77777777" w:rsidR="00E7402F" w:rsidRDefault="00E7402F" w:rsidP="00E7402F">
            <w:pPr>
              <w:pStyle w:val="Level1Body"/>
              <w:jc w:val="left"/>
            </w:pPr>
          </w:p>
        </w:tc>
        <w:tc>
          <w:tcPr>
            <w:tcW w:w="876" w:type="dxa"/>
          </w:tcPr>
          <w:p w14:paraId="373857BF" w14:textId="77777777" w:rsidR="00E7402F" w:rsidRDefault="00E7402F" w:rsidP="00E7402F">
            <w:pPr>
              <w:pStyle w:val="Level1Body"/>
              <w:jc w:val="left"/>
            </w:pPr>
          </w:p>
        </w:tc>
        <w:tc>
          <w:tcPr>
            <w:tcW w:w="3455" w:type="dxa"/>
          </w:tcPr>
          <w:p w14:paraId="078AF91B" w14:textId="0DDD7F5E" w:rsidR="00E7402F" w:rsidRDefault="00E7402F" w:rsidP="00E074E7">
            <w:pPr>
              <w:pStyle w:val="Level1Body"/>
              <w:jc w:val="left"/>
            </w:pPr>
            <w:r w:rsidRPr="00C20CC4">
              <w:t>Can you clarify the roles and responsibilities between NDEE staff and the contractor for program design, application development, and program implementation?</w:t>
            </w:r>
            <w:r>
              <w:t xml:space="preserve"> </w:t>
            </w:r>
          </w:p>
        </w:tc>
        <w:tc>
          <w:tcPr>
            <w:tcW w:w="4500" w:type="dxa"/>
          </w:tcPr>
          <w:p w14:paraId="7983358E" w14:textId="6D8B5610" w:rsidR="00E7402F" w:rsidRPr="00280EDB" w:rsidRDefault="00E7402F" w:rsidP="00E7402F">
            <w:pPr>
              <w:pStyle w:val="Level1Body"/>
              <w:jc w:val="left"/>
              <w:rPr>
                <w:color w:val="4472C4" w:themeColor="accent1"/>
              </w:rPr>
            </w:pPr>
            <w:r w:rsidRPr="0011589E">
              <w:rPr>
                <w:color w:val="auto"/>
              </w:rPr>
              <w:t>The contractor will be responsible to help NDEE with program design and application development. The contractor will be the program implementor.</w:t>
            </w:r>
          </w:p>
        </w:tc>
      </w:tr>
      <w:tr w:rsidR="00E7402F" w14:paraId="7AAFE472" w14:textId="77777777" w:rsidTr="009E4338">
        <w:tc>
          <w:tcPr>
            <w:tcW w:w="937" w:type="dxa"/>
          </w:tcPr>
          <w:p w14:paraId="570D3DE3" w14:textId="41B071E8" w:rsidR="00E7402F" w:rsidRPr="00E074E7" w:rsidRDefault="00E7402F" w:rsidP="00E7402F">
            <w:pPr>
              <w:pStyle w:val="Level1Body"/>
              <w:rPr>
                <w:color w:val="auto"/>
              </w:rPr>
            </w:pPr>
            <w:r w:rsidRPr="00E074E7">
              <w:rPr>
                <w:color w:val="auto"/>
              </w:rPr>
              <w:t>1</w:t>
            </w:r>
            <w:r w:rsidR="002B57A8" w:rsidRPr="00E074E7">
              <w:rPr>
                <w:color w:val="auto"/>
              </w:rPr>
              <w:t>7</w:t>
            </w:r>
            <w:r w:rsidRPr="00E074E7">
              <w:rPr>
                <w:color w:val="auto"/>
              </w:rPr>
              <w:t>.</w:t>
            </w:r>
          </w:p>
        </w:tc>
        <w:tc>
          <w:tcPr>
            <w:tcW w:w="1657" w:type="dxa"/>
          </w:tcPr>
          <w:p w14:paraId="320C098E" w14:textId="77777777" w:rsidR="00E7402F" w:rsidRDefault="00E7402F" w:rsidP="00E7402F">
            <w:pPr>
              <w:pStyle w:val="Level1Body"/>
              <w:jc w:val="left"/>
            </w:pPr>
          </w:p>
        </w:tc>
        <w:tc>
          <w:tcPr>
            <w:tcW w:w="876" w:type="dxa"/>
          </w:tcPr>
          <w:p w14:paraId="12D74922" w14:textId="77777777" w:rsidR="00E7402F" w:rsidRDefault="00E7402F" w:rsidP="00E7402F">
            <w:pPr>
              <w:pStyle w:val="Level1Body"/>
              <w:jc w:val="left"/>
            </w:pPr>
          </w:p>
        </w:tc>
        <w:tc>
          <w:tcPr>
            <w:tcW w:w="3455" w:type="dxa"/>
          </w:tcPr>
          <w:p w14:paraId="681D47D5" w14:textId="699429DA" w:rsidR="00E7402F" w:rsidRDefault="00E7402F" w:rsidP="00E074E7">
            <w:pPr>
              <w:jc w:val="left"/>
            </w:pPr>
            <w:r w:rsidRPr="00C20CC4">
              <w:t xml:space="preserve">Will NDEE </w:t>
            </w:r>
            <w:r w:rsidRPr="000600B0">
              <w:t>require any specific training for state staff or contractors to align with program implementation goals?</w:t>
            </w:r>
          </w:p>
        </w:tc>
        <w:tc>
          <w:tcPr>
            <w:tcW w:w="4500" w:type="dxa"/>
          </w:tcPr>
          <w:p w14:paraId="4659B635" w14:textId="6B6C0228" w:rsidR="00E7402F" w:rsidRPr="00280EDB" w:rsidRDefault="00E7402F" w:rsidP="00E7402F">
            <w:pPr>
              <w:pStyle w:val="Level1Body"/>
              <w:jc w:val="left"/>
              <w:rPr>
                <w:color w:val="4472C4" w:themeColor="accent1"/>
              </w:rPr>
            </w:pPr>
            <w:r w:rsidRPr="0011589E">
              <w:rPr>
                <w:color w:val="auto"/>
              </w:rPr>
              <w:t>Yes, there will be required training for participating contractors to understand program requirements and goals.</w:t>
            </w:r>
          </w:p>
        </w:tc>
      </w:tr>
      <w:tr w:rsidR="00E7402F" w14:paraId="31E4B140" w14:textId="77777777" w:rsidTr="009E4338">
        <w:tc>
          <w:tcPr>
            <w:tcW w:w="937" w:type="dxa"/>
          </w:tcPr>
          <w:p w14:paraId="25151277" w14:textId="3545B939" w:rsidR="00E7402F" w:rsidRPr="00E074E7" w:rsidRDefault="00E7402F" w:rsidP="00E7402F">
            <w:pPr>
              <w:pStyle w:val="Level1Body"/>
              <w:rPr>
                <w:color w:val="auto"/>
              </w:rPr>
            </w:pPr>
            <w:r w:rsidRPr="00E074E7">
              <w:rPr>
                <w:color w:val="auto"/>
              </w:rPr>
              <w:t>1</w:t>
            </w:r>
            <w:r w:rsidR="002B57A8" w:rsidRPr="00E074E7">
              <w:rPr>
                <w:color w:val="auto"/>
              </w:rPr>
              <w:t>8</w:t>
            </w:r>
            <w:r w:rsidRPr="00E074E7">
              <w:rPr>
                <w:color w:val="auto"/>
              </w:rPr>
              <w:t>.</w:t>
            </w:r>
          </w:p>
        </w:tc>
        <w:tc>
          <w:tcPr>
            <w:tcW w:w="1657" w:type="dxa"/>
          </w:tcPr>
          <w:p w14:paraId="34721ED8" w14:textId="77777777" w:rsidR="00E7402F" w:rsidRDefault="00E7402F" w:rsidP="00E7402F">
            <w:pPr>
              <w:pStyle w:val="Level1Body"/>
              <w:jc w:val="left"/>
            </w:pPr>
          </w:p>
        </w:tc>
        <w:tc>
          <w:tcPr>
            <w:tcW w:w="876" w:type="dxa"/>
          </w:tcPr>
          <w:p w14:paraId="1916267A" w14:textId="77777777" w:rsidR="00E7402F" w:rsidRDefault="00E7402F" w:rsidP="00E7402F">
            <w:pPr>
              <w:pStyle w:val="Level1Body"/>
              <w:jc w:val="left"/>
            </w:pPr>
          </w:p>
        </w:tc>
        <w:tc>
          <w:tcPr>
            <w:tcW w:w="3455" w:type="dxa"/>
          </w:tcPr>
          <w:p w14:paraId="01CEE047" w14:textId="74169138" w:rsidR="00E7402F" w:rsidRDefault="00E7402F" w:rsidP="00E074E7">
            <w:pPr>
              <w:jc w:val="left"/>
            </w:pPr>
            <w:r w:rsidRPr="00C20CC4">
              <w:t xml:space="preserve">What </w:t>
            </w:r>
            <w:bookmarkStart w:id="2" w:name="OLE_LINK2"/>
            <w:r w:rsidRPr="00C20CC4">
              <w:t>risk mitigation strategies has NDEE identified for potential challenges (e.g., insufficient contractor network, delays in federal funding)?</w:t>
            </w:r>
            <w:bookmarkEnd w:id="2"/>
          </w:p>
        </w:tc>
        <w:tc>
          <w:tcPr>
            <w:tcW w:w="4500" w:type="dxa"/>
          </w:tcPr>
          <w:p w14:paraId="787EC1FB" w14:textId="4734D9C9" w:rsidR="00E7402F" w:rsidRDefault="00E7402F" w:rsidP="00E7402F">
            <w:pPr>
              <w:pStyle w:val="Level1Body"/>
              <w:jc w:val="left"/>
            </w:pPr>
            <w:r w:rsidRPr="0011589E">
              <w:rPr>
                <w:color w:val="auto"/>
              </w:rPr>
              <w:t>No specific risk mitigation strategies have been identified by NDEE. NDEE will work with the contractor to identify any risks and develop solutions for challenges.</w:t>
            </w:r>
          </w:p>
        </w:tc>
      </w:tr>
      <w:tr w:rsidR="009E4338" w14:paraId="43A13FAF" w14:textId="77777777" w:rsidTr="009E4338">
        <w:tc>
          <w:tcPr>
            <w:tcW w:w="937" w:type="dxa"/>
          </w:tcPr>
          <w:p w14:paraId="54ED9127" w14:textId="17FAE1BF" w:rsidR="00E7402F" w:rsidRPr="00E074E7" w:rsidRDefault="00E7402F" w:rsidP="00E7402F">
            <w:pPr>
              <w:pStyle w:val="Level1Body"/>
              <w:rPr>
                <w:color w:val="auto"/>
              </w:rPr>
            </w:pPr>
            <w:r w:rsidRPr="00E074E7">
              <w:rPr>
                <w:color w:val="auto"/>
              </w:rPr>
              <w:t>1</w:t>
            </w:r>
            <w:r w:rsidR="002B57A8" w:rsidRPr="00E074E7">
              <w:rPr>
                <w:color w:val="auto"/>
              </w:rPr>
              <w:t>9</w:t>
            </w:r>
            <w:r w:rsidRPr="00E074E7">
              <w:rPr>
                <w:color w:val="auto"/>
              </w:rPr>
              <w:t>.</w:t>
            </w:r>
          </w:p>
        </w:tc>
        <w:tc>
          <w:tcPr>
            <w:tcW w:w="1657" w:type="dxa"/>
          </w:tcPr>
          <w:p w14:paraId="38E65903" w14:textId="18BBADA4" w:rsidR="00E7402F" w:rsidRDefault="00E7402F" w:rsidP="00E7402F">
            <w:pPr>
              <w:pStyle w:val="Level1Body"/>
              <w:jc w:val="left"/>
            </w:pPr>
            <w:r>
              <w:t xml:space="preserve">VI. Solicitation Response Instructions </w:t>
            </w:r>
          </w:p>
        </w:tc>
        <w:tc>
          <w:tcPr>
            <w:tcW w:w="876" w:type="dxa"/>
          </w:tcPr>
          <w:p w14:paraId="77F1ABBE" w14:textId="73012CAD" w:rsidR="00E7402F" w:rsidRDefault="00E7402F" w:rsidP="00E7402F">
            <w:pPr>
              <w:pStyle w:val="Level1Body"/>
              <w:jc w:val="left"/>
            </w:pPr>
            <w:r>
              <w:t>29</w:t>
            </w:r>
          </w:p>
        </w:tc>
        <w:tc>
          <w:tcPr>
            <w:tcW w:w="3455" w:type="dxa"/>
          </w:tcPr>
          <w:p w14:paraId="0D568832" w14:textId="0F1BE4F8" w:rsidR="00E7402F" w:rsidRDefault="00E7402F" w:rsidP="00E074E7">
            <w:pPr>
              <w:pStyle w:val="Level1Body"/>
              <w:jc w:val="left"/>
            </w:pPr>
            <w:r>
              <w:t xml:space="preserve">Please confirm the State wants vendors to address every subdivision in Section V. Project Description and Scope of Work (A through F) and not just the C. Scope of Work, E. Technical Requirements, and F. Deliverables subdivisions in our response. </w:t>
            </w:r>
          </w:p>
        </w:tc>
        <w:tc>
          <w:tcPr>
            <w:tcW w:w="4500" w:type="dxa"/>
          </w:tcPr>
          <w:p w14:paraId="23AE6F61" w14:textId="77777777" w:rsidR="0011589E" w:rsidRDefault="00E7402F" w:rsidP="00E7402F">
            <w:pPr>
              <w:pStyle w:val="Level1Body"/>
              <w:jc w:val="left"/>
              <w:rPr>
                <w:color w:val="auto"/>
              </w:rPr>
            </w:pPr>
            <w:r w:rsidRPr="0011589E">
              <w:rPr>
                <w:color w:val="auto"/>
              </w:rPr>
              <w:t xml:space="preserve">Vendors should address every subdivision that requests information from the vendor. </w:t>
            </w:r>
          </w:p>
          <w:p w14:paraId="6C0D99D5" w14:textId="77777777" w:rsidR="0011589E" w:rsidRPr="00E074E7" w:rsidRDefault="0011589E" w:rsidP="00E7402F">
            <w:pPr>
              <w:pStyle w:val="Level1Body"/>
              <w:jc w:val="left"/>
              <w:rPr>
                <w:color w:val="auto"/>
                <w:sz w:val="18"/>
                <w:szCs w:val="18"/>
              </w:rPr>
            </w:pPr>
          </w:p>
          <w:p w14:paraId="4BB3967E" w14:textId="5E4FC379" w:rsidR="00E7402F" w:rsidRDefault="0011589E" w:rsidP="00E7402F">
            <w:pPr>
              <w:pStyle w:val="Level1Body"/>
              <w:jc w:val="left"/>
            </w:pPr>
            <w:r>
              <w:rPr>
                <w:color w:val="auto"/>
              </w:rPr>
              <w:t xml:space="preserve">Refer to the answers provided in Questions 12 &amp; 13. </w:t>
            </w:r>
          </w:p>
        </w:tc>
      </w:tr>
      <w:tr w:rsidR="009E4338" w14:paraId="4E1FDC3D" w14:textId="77777777" w:rsidTr="009E4338">
        <w:tc>
          <w:tcPr>
            <w:tcW w:w="937" w:type="dxa"/>
          </w:tcPr>
          <w:p w14:paraId="6A9A9A6D" w14:textId="534A1879" w:rsidR="00E7402F" w:rsidRPr="00E074E7" w:rsidRDefault="002B57A8" w:rsidP="00E7402F">
            <w:pPr>
              <w:pStyle w:val="Level1Body"/>
              <w:rPr>
                <w:color w:val="auto"/>
              </w:rPr>
            </w:pPr>
            <w:r w:rsidRPr="00E074E7">
              <w:rPr>
                <w:color w:val="auto"/>
              </w:rPr>
              <w:t>20</w:t>
            </w:r>
            <w:r w:rsidR="00E7402F" w:rsidRPr="00E074E7">
              <w:rPr>
                <w:color w:val="auto"/>
              </w:rPr>
              <w:t>.</w:t>
            </w:r>
          </w:p>
        </w:tc>
        <w:tc>
          <w:tcPr>
            <w:tcW w:w="1657" w:type="dxa"/>
          </w:tcPr>
          <w:p w14:paraId="482327F5" w14:textId="49141D6D" w:rsidR="00E7402F" w:rsidRDefault="00E7402F" w:rsidP="00E7402F">
            <w:pPr>
              <w:pStyle w:val="Level1Body"/>
              <w:jc w:val="left"/>
            </w:pPr>
            <w:r>
              <w:t>III. Vendor Duties – K. Insurance Requirements</w:t>
            </w:r>
          </w:p>
        </w:tc>
        <w:tc>
          <w:tcPr>
            <w:tcW w:w="876" w:type="dxa"/>
          </w:tcPr>
          <w:p w14:paraId="07C0AC1D" w14:textId="23B9C002" w:rsidR="00E7402F" w:rsidRDefault="00E7402F" w:rsidP="00E7402F">
            <w:pPr>
              <w:pStyle w:val="Level1Body"/>
              <w:jc w:val="left"/>
            </w:pPr>
            <w:r>
              <w:t>18</w:t>
            </w:r>
          </w:p>
        </w:tc>
        <w:tc>
          <w:tcPr>
            <w:tcW w:w="3455" w:type="dxa"/>
          </w:tcPr>
          <w:p w14:paraId="05977A4E" w14:textId="2807C54D" w:rsidR="00E7402F" w:rsidRPr="00E074E7" w:rsidRDefault="00E7402F" w:rsidP="00E074E7">
            <w:pPr>
              <w:pStyle w:val="Level1Body"/>
              <w:jc w:val="left"/>
              <w:rPr>
                <w:color w:val="auto"/>
              </w:rPr>
            </w:pPr>
            <w:r w:rsidRPr="00E074E7">
              <w:rPr>
                <w:color w:val="auto"/>
              </w:rPr>
              <w:t xml:space="preserve">Please confirm the State wants vendors to submit a current COI with our response. </w:t>
            </w:r>
          </w:p>
        </w:tc>
        <w:tc>
          <w:tcPr>
            <w:tcW w:w="4500" w:type="dxa"/>
          </w:tcPr>
          <w:p w14:paraId="5A55AA52" w14:textId="42FB9CDE" w:rsidR="00E7402F" w:rsidRPr="00E074E7" w:rsidRDefault="0011589E" w:rsidP="00E7402F">
            <w:pPr>
              <w:pStyle w:val="Level1Body"/>
              <w:jc w:val="left"/>
              <w:rPr>
                <w:color w:val="auto"/>
              </w:rPr>
            </w:pPr>
            <w:r w:rsidRPr="00E074E7">
              <w:rPr>
                <w:color w:val="auto"/>
              </w:rPr>
              <w:t xml:space="preserve">It is recommended, but not necessary to provide a Certificate of Insurance (COI) at the time the bid is submitted.  </w:t>
            </w:r>
          </w:p>
          <w:p w14:paraId="6FD7DCC1" w14:textId="77777777" w:rsidR="0011589E" w:rsidRPr="00E074E7" w:rsidRDefault="0011589E" w:rsidP="00E7402F">
            <w:pPr>
              <w:pStyle w:val="Level1Body"/>
              <w:jc w:val="left"/>
              <w:rPr>
                <w:color w:val="auto"/>
                <w:sz w:val="18"/>
                <w:szCs w:val="18"/>
              </w:rPr>
            </w:pPr>
          </w:p>
          <w:p w14:paraId="1F3BA46E" w14:textId="1D2BF0E7" w:rsidR="0011589E" w:rsidRPr="00E074E7" w:rsidRDefault="0011589E" w:rsidP="00E7402F">
            <w:pPr>
              <w:pStyle w:val="Level1Body"/>
              <w:jc w:val="left"/>
              <w:rPr>
                <w:color w:val="auto"/>
              </w:rPr>
            </w:pPr>
            <w:r w:rsidRPr="00E074E7">
              <w:rPr>
                <w:color w:val="auto"/>
              </w:rPr>
              <w:t>However, the awarded bidder will need to provide COI prior to beginning work, per</w:t>
            </w:r>
            <w:r w:rsidR="00075FCB" w:rsidRPr="00E074E7">
              <w:rPr>
                <w:color w:val="auto"/>
              </w:rPr>
              <w:t xml:space="preserve"> RFP Section </w:t>
            </w:r>
            <w:r w:rsidRPr="00E074E7">
              <w:rPr>
                <w:color w:val="auto"/>
              </w:rPr>
              <w:t>III.K..3.</w:t>
            </w:r>
          </w:p>
        </w:tc>
      </w:tr>
      <w:tr w:rsidR="009E4338" w14:paraId="15FD45C8" w14:textId="77777777" w:rsidTr="009E4338">
        <w:tc>
          <w:tcPr>
            <w:tcW w:w="937" w:type="dxa"/>
          </w:tcPr>
          <w:p w14:paraId="5EF84CF1" w14:textId="13286188" w:rsidR="00E7402F" w:rsidRPr="00E074E7" w:rsidRDefault="00E7402F" w:rsidP="00E7402F">
            <w:pPr>
              <w:pStyle w:val="Level1Body"/>
              <w:rPr>
                <w:color w:val="auto"/>
              </w:rPr>
            </w:pPr>
            <w:r w:rsidRPr="00E074E7">
              <w:rPr>
                <w:color w:val="auto"/>
              </w:rPr>
              <w:t>2</w:t>
            </w:r>
            <w:r w:rsidR="002B57A8" w:rsidRPr="00E074E7">
              <w:rPr>
                <w:color w:val="auto"/>
              </w:rPr>
              <w:t>1</w:t>
            </w:r>
            <w:r w:rsidRPr="00E074E7">
              <w:rPr>
                <w:color w:val="auto"/>
              </w:rPr>
              <w:t>.</w:t>
            </w:r>
          </w:p>
        </w:tc>
        <w:tc>
          <w:tcPr>
            <w:tcW w:w="1657" w:type="dxa"/>
          </w:tcPr>
          <w:p w14:paraId="76ACA3B9" w14:textId="4D28D3C5" w:rsidR="00E7402F" w:rsidRDefault="00E7402F" w:rsidP="00E7402F">
            <w:pPr>
              <w:pStyle w:val="Level1Body"/>
              <w:jc w:val="left"/>
            </w:pPr>
            <w:r>
              <w:t>III. Vendor Duties – K. Insurance Requirements</w:t>
            </w:r>
          </w:p>
        </w:tc>
        <w:tc>
          <w:tcPr>
            <w:tcW w:w="876" w:type="dxa"/>
          </w:tcPr>
          <w:p w14:paraId="5811D8CE" w14:textId="3250FA45" w:rsidR="00E7402F" w:rsidRDefault="00E7402F" w:rsidP="00E7402F">
            <w:pPr>
              <w:pStyle w:val="Level1Body"/>
              <w:jc w:val="left"/>
            </w:pPr>
            <w:r>
              <w:t>18</w:t>
            </w:r>
          </w:p>
        </w:tc>
        <w:tc>
          <w:tcPr>
            <w:tcW w:w="3455" w:type="dxa"/>
          </w:tcPr>
          <w:p w14:paraId="3FB7468E" w14:textId="679DEA67" w:rsidR="00E7402F" w:rsidRDefault="00E7402F" w:rsidP="00E074E7">
            <w:pPr>
              <w:pStyle w:val="Level1Body"/>
              <w:jc w:val="left"/>
            </w:pPr>
            <w:r>
              <w:t xml:space="preserve">Please confirm the State wants vendors to submit a current COI with our response. </w:t>
            </w:r>
          </w:p>
        </w:tc>
        <w:tc>
          <w:tcPr>
            <w:tcW w:w="4500" w:type="dxa"/>
          </w:tcPr>
          <w:p w14:paraId="751A88C1" w14:textId="0FBD4234" w:rsidR="00E7402F" w:rsidRPr="00E074E7" w:rsidRDefault="00075FCB" w:rsidP="00E7402F">
            <w:pPr>
              <w:pStyle w:val="Level1Body"/>
              <w:jc w:val="left"/>
              <w:rPr>
                <w:color w:val="auto"/>
              </w:rPr>
            </w:pPr>
            <w:r w:rsidRPr="00E074E7">
              <w:rPr>
                <w:color w:val="auto"/>
              </w:rPr>
              <w:t>Refer to the answer provided for Question 20.</w:t>
            </w:r>
          </w:p>
        </w:tc>
      </w:tr>
      <w:tr w:rsidR="009E4338" w14:paraId="11232BF3" w14:textId="77777777" w:rsidTr="009E4338">
        <w:tc>
          <w:tcPr>
            <w:tcW w:w="937" w:type="dxa"/>
          </w:tcPr>
          <w:p w14:paraId="02D3B91A" w14:textId="16E10F45" w:rsidR="00E7402F" w:rsidRPr="00E074E7" w:rsidRDefault="00E7402F" w:rsidP="00E7402F">
            <w:pPr>
              <w:pStyle w:val="Level1Body"/>
              <w:rPr>
                <w:color w:val="auto"/>
              </w:rPr>
            </w:pPr>
            <w:r w:rsidRPr="00E074E7">
              <w:rPr>
                <w:color w:val="auto"/>
              </w:rPr>
              <w:t>2</w:t>
            </w:r>
            <w:r w:rsidR="002B57A8" w:rsidRPr="00E074E7">
              <w:rPr>
                <w:color w:val="auto"/>
              </w:rPr>
              <w:t>2</w:t>
            </w:r>
            <w:r w:rsidRPr="00E074E7">
              <w:rPr>
                <w:color w:val="auto"/>
              </w:rPr>
              <w:t>.</w:t>
            </w:r>
          </w:p>
        </w:tc>
        <w:tc>
          <w:tcPr>
            <w:tcW w:w="1657" w:type="dxa"/>
          </w:tcPr>
          <w:p w14:paraId="0F70CC20" w14:textId="30365A3E" w:rsidR="00E7402F" w:rsidRDefault="00E7402F" w:rsidP="00E7402F">
            <w:pPr>
              <w:pStyle w:val="Level1Body"/>
              <w:jc w:val="left"/>
            </w:pPr>
            <w:r>
              <w:t>VI. Solicitation Response Instructions A.1.b – Financial Statements</w:t>
            </w:r>
          </w:p>
        </w:tc>
        <w:tc>
          <w:tcPr>
            <w:tcW w:w="876" w:type="dxa"/>
          </w:tcPr>
          <w:p w14:paraId="7553AB82" w14:textId="3030DAC9" w:rsidR="00E7402F" w:rsidRDefault="00E7402F" w:rsidP="00E7402F">
            <w:pPr>
              <w:pStyle w:val="Level1Body"/>
              <w:jc w:val="left"/>
            </w:pPr>
            <w:r>
              <w:t>29</w:t>
            </w:r>
          </w:p>
        </w:tc>
        <w:tc>
          <w:tcPr>
            <w:tcW w:w="3455" w:type="dxa"/>
          </w:tcPr>
          <w:p w14:paraId="25E7A0CD" w14:textId="5D4617D3" w:rsidR="00E7402F" w:rsidRDefault="00E7402F" w:rsidP="00E074E7">
            <w:pPr>
              <w:pStyle w:val="Level1Body"/>
              <w:jc w:val="left"/>
            </w:pPr>
            <w:r>
              <w:t xml:space="preserve">Please confirm financial statements as required in the Corporate Overview section will be held confidential. </w:t>
            </w:r>
          </w:p>
        </w:tc>
        <w:tc>
          <w:tcPr>
            <w:tcW w:w="4500" w:type="dxa"/>
          </w:tcPr>
          <w:p w14:paraId="47067E23" w14:textId="6AA18B9F" w:rsidR="00E7402F" w:rsidRPr="00E074E7" w:rsidRDefault="00075FCB" w:rsidP="00E7402F">
            <w:pPr>
              <w:pStyle w:val="Level1Body"/>
              <w:jc w:val="left"/>
              <w:rPr>
                <w:color w:val="auto"/>
              </w:rPr>
            </w:pPr>
            <w:r w:rsidRPr="00E074E7">
              <w:rPr>
                <w:color w:val="auto"/>
              </w:rPr>
              <w:t xml:space="preserve">Company financial statements are typically considered confidential.  </w:t>
            </w:r>
          </w:p>
          <w:p w14:paraId="2AD173F3" w14:textId="77777777" w:rsidR="00075FCB" w:rsidRPr="00E074E7" w:rsidRDefault="00075FCB" w:rsidP="00E7402F">
            <w:pPr>
              <w:pStyle w:val="Level1Body"/>
              <w:jc w:val="left"/>
              <w:rPr>
                <w:sz w:val="18"/>
                <w:szCs w:val="18"/>
              </w:rPr>
            </w:pPr>
          </w:p>
          <w:p w14:paraId="421094A4" w14:textId="228D8D1A" w:rsidR="00075FCB" w:rsidRDefault="00075FCB" w:rsidP="00E7402F">
            <w:pPr>
              <w:pStyle w:val="Level1Body"/>
              <w:jc w:val="left"/>
            </w:pPr>
            <w:r>
              <w:t>Per RFP Section I.H.1.b. ELECTRONIC SOICATION RESPONSE FILE NAMES, submit a separate Confidential file for company financial statements.</w:t>
            </w:r>
          </w:p>
        </w:tc>
      </w:tr>
      <w:tr w:rsidR="009E4338" w14:paraId="788A6FE5" w14:textId="77777777" w:rsidTr="009E4338">
        <w:tc>
          <w:tcPr>
            <w:tcW w:w="937" w:type="dxa"/>
          </w:tcPr>
          <w:p w14:paraId="60D63AF1" w14:textId="6C17514D" w:rsidR="00E7402F" w:rsidRPr="00E074E7" w:rsidRDefault="00E7402F" w:rsidP="00E7402F">
            <w:pPr>
              <w:pStyle w:val="Level1Body"/>
              <w:rPr>
                <w:color w:val="auto"/>
              </w:rPr>
            </w:pPr>
            <w:r w:rsidRPr="00E074E7">
              <w:rPr>
                <w:color w:val="auto"/>
              </w:rPr>
              <w:t>2</w:t>
            </w:r>
            <w:r w:rsidR="002B57A8" w:rsidRPr="00E074E7">
              <w:rPr>
                <w:color w:val="auto"/>
              </w:rPr>
              <w:t>3</w:t>
            </w:r>
            <w:r w:rsidRPr="00E074E7">
              <w:rPr>
                <w:color w:val="auto"/>
              </w:rPr>
              <w:t>.</w:t>
            </w:r>
          </w:p>
        </w:tc>
        <w:tc>
          <w:tcPr>
            <w:tcW w:w="1657" w:type="dxa"/>
          </w:tcPr>
          <w:p w14:paraId="15A02963" w14:textId="090B5764" w:rsidR="00E7402F" w:rsidRPr="00E074E7" w:rsidRDefault="002B57A8" w:rsidP="00E7402F">
            <w:pPr>
              <w:pStyle w:val="Level1Body"/>
              <w:jc w:val="left"/>
              <w:rPr>
                <w:color w:val="auto"/>
              </w:rPr>
            </w:pPr>
            <w:r w:rsidRPr="00E074E7">
              <w:rPr>
                <w:color w:val="auto"/>
              </w:rPr>
              <w:t>Attachment A. Technical Requirements</w:t>
            </w:r>
          </w:p>
        </w:tc>
        <w:tc>
          <w:tcPr>
            <w:tcW w:w="876" w:type="dxa"/>
          </w:tcPr>
          <w:p w14:paraId="3C607BC7" w14:textId="77777777" w:rsidR="00E7402F" w:rsidRPr="00E074E7" w:rsidRDefault="00E7402F" w:rsidP="00E7402F">
            <w:pPr>
              <w:pStyle w:val="Level1Body"/>
              <w:jc w:val="left"/>
              <w:rPr>
                <w:color w:val="auto"/>
              </w:rPr>
            </w:pPr>
          </w:p>
        </w:tc>
        <w:tc>
          <w:tcPr>
            <w:tcW w:w="3455" w:type="dxa"/>
          </w:tcPr>
          <w:p w14:paraId="092A9383" w14:textId="694FA126" w:rsidR="002B57A8" w:rsidRPr="00E074E7" w:rsidRDefault="002B57A8" w:rsidP="00E074E7">
            <w:pPr>
              <w:pStyle w:val="Level1Body"/>
              <w:jc w:val="left"/>
              <w:rPr>
                <w:color w:val="auto"/>
              </w:rPr>
            </w:pPr>
            <w:r w:rsidRPr="00E074E7">
              <w:rPr>
                <w:color w:val="auto"/>
              </w:rPr>
              <w:t>…reference is made to "Requested Tasks" (</w:t>
            </w:r>
            <w:proofErr w:type="spellStart"/>
            <w:r w:rsidRPr="00E074E7">
              <w:rPr>
                <w:color w:val="auto"/>
              </w:rPr>
              <w:t>e.g.subtasks</w:t>
            </w:r>
            <w:proofErr w:type="spellEnd"/>
            <w:r w:rsidRPr="00E074E7">
              <w:rPr>
                <w:color w:val="auto"/>
              </w:rPr>
              <w:t xml:space="preserve"> noted in Part I #1 of Requested Task), however I do not see Requested Tasks included in your list of documents.</w:t>
            </w:r>
          </w:p>
          <w:p w14:paraId="36A28D64" w14:textId="77777777" w:rsidR="002B57A8" w:rsidRPr="00E074E7" w:rsidRDefault="002B57A8" w:rsidP="00E074E7">
            <w:pPr>
              <w:pStyle w:val="Level1Body"/>
              <w:jc w:val="left"/>
              <w:rPr>
                <w:color w:val="auto"/>
                <w:sz w:val="18"/>
                <w:szCs w:val="18"/>
              </w:rPr>
            </w:pPr>
          </w:p>
          <w:p w14:paraId="5C795FB4" w14:textId="0506A983" w:rsidR="00E7402F" w:rsidRPr="00E074E7" w:rsidRDefault="002B57A8" w:rsidP="00E074E7">
            <w:pPr>
              <w:pStyle w:val="Level1Body"/>
              <w:jc w:val="left"/>
              <w:rPr>
                <w:color w:val="auto"/>
              </w:rPr>
            </w:pPr>
            <w:r w:rsidRPr="00E074E7">
              <w:rPr>
                <w:color w:val="auto"/>
              </w:rPr>
              <w:t>Can you please direct me to where we can find the list of Requested Tasks? Or is this simply a reference to the program elements listed in the Technical Requirements document?</w:t>
            </w:r>
          </w:p>
        </w:tc>
        <w:tc>
          <w:tcPr>
            <w:tcW w:w="4500" w:type="dxa"/>
          </w:tcPr>
          <w:p w14:paraId="152ECDFA" w14:textId="77777777" w:rsidR="007A1A26" w:rsidRPr="00E074E7" w:rsidRDefault="007A1A26" w:rsidP="00E7402F">
            <w:pPr>
              <w:pStyle w:val="Level1Body"/>
              <w:jc w:val="left"/>
              <w:rPr>
                <w:color w:val="4472C4" w:themeColor="accent1"/>
                <w:sz w:val="16"/>
                <w:szCs w:val="16"/>
              </w:rPr>
            </w:pPr>
          </w:p>
          <w:p w14:paraId="265B3062" w14:textId="77777777" w:rsidR="007A1A26" w:rsidRPr="00E074E7" w:rsidRDefault="007A1A26" w:rsidP="00E7402F">
            <w:pPr>
              <w:pStyle w:val="Level1Body"/>
              <w:jc w:val="left"/>
              <w:rPr>
                <w:color w:val="4472C4" w:themeColor="accent1"/>
                <w:sz w:val="16"/>
                <w:szCs w:val="16"/>
              </w:rPr>
            </w:pPr>
          </w:p>
          <w:p w14:paraId="670003FD" w14:textId="77777777" w:rsidR="007A1A26" w:rsidRPr="00E074E7" w:rsidRDefault="007A1A26" w:rsidP="00E7402F">
            <w:pPr>
              <w:pStyle w:val="Level1Body"/>
              <w:jc w:val="left"/>
              <w:rPr>
                <w:color w:val="4472C4" w:themeColor="accent1"/>
                <w:sz w:val="16"/>
                <w:szCs w:val="16"/>
              </w:rPr>
            </w:pPr>
          </w:p>
          <w:p w14:paraId="4BE38A4F" w14:textId="77777777" w:rsidR="007A1A26" w:rsidRPr="00E074E7" w:rsidRDefault="007A1A26" w:rsidP="00E7402F">
            <w:pPr>
              <w:pStyle w:val="Level1Body"/>
              <w:jc w:val="left"/>
              <w:rPr>
                <w:color w:val="4472C4" w:themeColor="accent1"/>
                <w:sz w:val="16"/>
                <w:szCs w:val="16"/>
              </w:rPr>
            </w:pPr>
          </w:p>
          <w:p w14:paraId="64ECDAEA" w14:textId="77777777" w:rsidR="007A1A26" w:rsidRPr="00E074E7" w:rsidRDefault="007A1A26" w:rsidP="00E7402F">
            <w:pPr>
              <w:pStyle w:val="Level1Body"/>
              <w:jc w:val="left"/>
              <w:rPr>
                <w:color w:val="4472C4" w:themeColor="accent1"/>
                <w:sz w:val="16"/>
                <w:szCs w:val="16"/>
              </w:rPr>
            </w:pPr>
          </w:p>
          <w:p w14:paraId="162B5ABF" w14:textId="77777777" w:rsidR="00E074E7" w:rsidRPr="00E074E7" w:rsidRDefault="00E074E7" w:rsidP="00E7402F">
            <w:pPr>
              <w:pStyle w:val="Level1Body"/>
              <w:jc w:val="left"/>
              <w:rPr>
                <w:color w:val="auto"/>
                <w:sz w:val="16"/>
                <w:szCs w:val="16"/>
              </w:rPr>
            </w:pPr>
          </w:p>
          <w:p w14:paraId="2B98FB4B" w14:textId="77777777" w:rsidR="00E074E7" w:rsidRPr="00E074E7" w:rsidRDefault="00E074E7" w:rsidP="00E7402F">
            <w:pPr>
              <w:pStyle w:val="Level1Body"/>
              <w:jc w:val="left"/>
              <w:rPr>
                <w:color w:val="auto"/>
                <w:sz w:val="16"/>
                <w:szCs w:val="16"/>
              </w:rPr>
            </w:pPr>
          </w:p>
          <w:p w14:paraId="6444A47F" w14:textId="7E6CD4E1" w:rsidR="00821AEB" w:rsidRPr="00E074E7" w:rsidRDefault="00075FCB" w:rsidP="00E7402F">
            <w:pPr>
              <w:pStyle w:val="Level1Body"/>
              <w:jc w:val="left"/>
              <w:rPr>
                <w:color w:val="auto"/>
              </w:rPr>
            </w:pPr>
            <w:r w:rsidRPr="00E074E7">
              <w:rPr>
                <w:color w:val="auto"/>
              </w:rPr>
              <w:t>Refer to RFP Section V.F.1. PART 1</w:t>
            </w:r>
            <w:r w:rsidR="00821AEB" w:rsidRPr="00E074E7">
              <w:rPr>
                <w:color w:val="auto"/>
              </w:rPr>
              <w:t>-4</w:t>
            </w:r>
            <w:r w:rsidRPr="00E074E7">
              <w:rPr>
                <w:color w:val="auto"/>
              </w:rPr>
              <w:t xml:space="preserve">. </w:t>
            </w:r>
          </w:p>
          <w:p w14:paraId="204BB115" w14:textId="77777777" w:rsidR="00821AEB" w:rsidRPr="00E074E7" w:rsidRDefault="00821AEB" w:rsidP="00E7402F">
            <w:pPr>
              <w:pStyle w:val="Level1Body"/>
              <w:jc w:val="left"/>
              <w:rPr>
                <w:color w:val="auto"/>
                <w:sz w:val="18"/>
                <w:szCs w:val="18"/>
              </w:rPr>
            </w:pPr>
          </w:p>
          <w:p w14:paraId="6B30416E" w14:textId="4224FEB1" w:rsidR="00E7402F" w:rsidRPr="00E074E7" w:rsidRDefault="00821AEB" w:rsidP="00E7402F">
            <w:pPr>
              <w:pStyle w:val="Level1Body"/>
              <w:jc w:val="left"/>
              <w:rPr>
                <w:color w:val="auto"/>
              </w:rPr>
            </w:pPr>
            <w:r w:rsidRPr="00E074E7">
              <w:rPr>
                <w:color w:val="auto"/>
              </w:rPr>
              <w:t xml:space="preserve">PART I. </w:t>
            </w:r>
            <w:r w:rsidR="00075FCB" w:rsidRPr="00E074E7">
              <w:rPr>
                <w:color w:val="auto"/>
              </w:rPr>
              <w:t>PROGRAM DESIGN AND STAKEHOLDER STRATEGY</w:t>
            </w:r>
          </w:p>
          <w:p w14:paraId="0BF34672" w14:textId="77777777" w:rsidR="00821AEB" w:rsidRPr="00E074E7" w:rsidRDefault="00821AEB" w:rsidP="00E7402F">
            <w:pPr>
              <w:pStyle w:val="Level1Body"/>
              <w:jc w:val="left"/>
              <w:rPr>
                <w:color w:val="auto"/>
              </w:rPr>
            </w:pPr>
            <w:r w:rsidRPr="00E074E7">
              <w:rPr>
                <w:color w:val="auto"/>
              </w:rPr>
              <w:t>PART II. APPLICATION SUPPORT</w:t>
            </w:r>
          </w:p>
          <w:p w14:paraId="045A5DB6" w14:textId="77777777" w:rsidR="00821AEB" w:rsidRPr="00E074E7" w:rsidRDefault="00821AEB" w:rsidP="00E7402F">
            <w:pPr>
              <w:pStyle w:val="Level1Body"/>
              <w:jc w:val="left"/>
              <w:rPr>
                <w:color w:val="auto"/>
              </w:rPr>
            </w:pPr>
            <w:r w:rsidRPr="00E074E7">
              <w:rPr>
                <w:color w:val="auto"/>
              </w:rPr>
              <w:t>PART III. STATE PROCESS SUPPORT</w:t>
            </w:r>
          </w:p>
          <w:p w14:paraId="37595123" w14:textId="7A84E8F3" w:rsidR="00821AEB" w:rsidRPr="008411E2" w:rsidRDefault="00821AEB" w:rsidP="00E7402F">
            <w:pPr>
              <w:pStyle w:val="Level1Body"/>
              <w:jc w:val="left"/>
              <w:rPr>
                <w:color w:val="4472C4" w:themeColor="accent1"/>
              </w:rPr>
            </w:pPr>
            <w:r w:rsidRPr="00E074E7">
              <w:rPr>
                <w:color w:val="auto"/>
              </w:rPr>
              <w:t>PART IV. PROGRAMS IMPLEMENTATION</w:t>
            </w:r>
          </w:p>
        </w:tc>
      </w:tr>
    </w:tbl>
    <w:p w14:paraId="350FFC6F" w14:textId="77777777" w:rsidR="00C555E5" w:rsidRDefault="00C555E5" w:rsidP="00932B83">
      <w:pPr>
        <w:pStyle w:val="Level1Body"/>
        <w:rPr>
          <w:lang w:val="en-CA"/>
        </w:rPr>
      </w:pPr>
    </w:p>
    <w:p w14:paraId="06F05107" w14:textId="044DBB1D" w:rsidR="00932B83" w:rsidRPr="00BD5697" w:rsidRDefault="00932B83" w:rsidP="00932B83">
      <w:pPr>
        <w:pStyle w:val="Level1Body"/>
      </w:pPr>
      <w:r w:rsidRPr="00BD5697">
        <w:rPr>
          <w:lang w:val="en-CA"/>
        </w:rPr>
        <w:fldChar w:fldCharType="begin"/>
      </w:r>
      <w:r w:rsidRPr="00BD5697">
        <w:rPr>
          <w:lang w:val="en-CA"/>
        </w:rPr>
        <w:instrText xml:space="preserve"> SEQ CHAPTER \h \r 1</w:instrText>
      </w:r>
      <w:r w:rsidRPr="00BD5697">
        <w:rPr>
          <w:lang w:val="en-CA"/>
        </w:rPr>
        <w:fldChar w:fldCharType="end"/>
      </w:r>
    </w:p>
    <w:p w14:paraId="4C611B09" w14:textId="77777777" w:rsidR="00FA5ABF" w:rsidRDefault="00932B83">
      <w:r w:rsidRPr="00985AE2">
        <w:t>This addendum will be</w:t>
      </w:r>
      <w:r>
        <w:t xml:space="preserve"> incorporated into </w:t>
      </w:r>
      <w:r w:rsidRPr="00985AE2">
        <w:t xml:space="preserve">the </w:t>
      </w:r>
      <w:r>
        <w:t xml:space="preserve">solicitation. </w:t>
      </w:r>
    </w:p>
    <w:p w14:paraId="44570987" w14:textId="77777777" w:rsidR="00932B83" w:rsidRDefault="00932B83"/>
    <w:p w14:paraId="5A15510A" w14:textId="77777777" w:rsidR="00760D32" w:rsidRPr="00760D32" w:rsidRDefault="00760D32" w:rsidP="00760D32">
      <w:pPr>
        <w:tabs>
          <w:tab w:val="left" w:pos="7000"/>
        </w:tabs>
      </w:pPr>
      <w:r>
        <w:tab/>
      </w:r>
    </w:p>
    <w:sectPr w:rsidR="00760D32" w:rsidRPr="00760D32" w:rsidSect="009E4338">
      <w:footerReference w:type="default" r:id="rId9"/>
      <w:pgSz w:w="12240" w:h="15840"/>
      <w:pgMar w:top="72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898A7" w14:textId="77777777" w:rsidR="00A22104" w:rsidRDefault="00A22104" w:rsidP="00932B83">
      <w:r>
        <w:separator/>
      </w:r>
    </w:p>
  </w:endnote>
  <w:endnote w:type="continuationSeparator" w:id="0">
    <w:p w14:paraId="6516878A" w14:textId="77777777" w:rsidR="00A22104" w:rsidRDefault="00A22104" w:rsidP="009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39146" w14:textId="77777777" w:rsidR="00804F85" w:rsidRPr="009E4338" w:rsidRDefault="00804F85">
    <w:pPr>
      <w:pStyle w:val="Footer"/>
      <w:jc w:val="right"/>
      <w:rPr>
        <w:sz w:val="18"/>
        <w:szCs w:val="18"/>
      </w:rPr>
    </w:pPr>
    <w:r w:rsidRPr="009E4338">
      <w:rPr>
        <w:sz w:val="18"/>
        <w:szCs w:val="18"/>
      </w:rPr>
      <w:t>SPB Form 26</w:t>
    </w:r>
  </w:p>
  <w:p w14:paraId="46890791" w14:textId="77777777" w:rsidR="00932B83" w:rsidRPr="009E4338" w:rsidRDefault="00EF689B">
    <w:pPr>
      <w:pStyle w:val="Footer"/>
      <w:jc w:val="right"/>
      <w:rPr>
        <w:sz w:val="18"/>
        <w:szCs w:val="18"/>
      </w:rPr>
    </w:pPr>
    <w:r w:rsidRPr="009E4338">
      <w:rPr>
        <w:sz w:val="18"/>
        <w:szCs w:val="18"/>
      </w:rPr>
      <w:t>Effective</w:t>
    </w:r>
    <w:r w:rsidR="00932B83" w:rsidRPr="009E4338">
      <w:rPr>
        <w:sz w:val="18"/>
        <w:szCs w:val="18"/>
      </w:rPr>
      <w:t xml:space="preserve"> 7-19-2024</w:t>
    </w:r>
  </w:p>
  <w:p w14:paraId="11F4170D" w14:textId="77777777" w:rsidR="00932B83" w:rsidRPr="009E4338" w:rsidRDefault="005939BD">
    <w:pPr>
      <w:pStyle w:val="Footer"/>
      <w:jc w:val="right"/>
      <w:rPr>
        <w:sz w:val="18"/>
        <w:szCs w:val="18"/>
      </w:rPr>
    </w:pPr>
    <w:sdt>
      <w:sdtPr>
        <w:rPr>
          <w:sz w:val="18"/>
          <w:szCs w:val="18"/>
        </w:rPr>
        <w:id w:val="-91191887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932B83" w:rsidRPr="009E4338">
              <w:rPr>
                <w:sz w:val="18"/>
                <w:szCs w:val="18"/>
              </w:rPr>
              <w:t xml:space="preserve">Page </w:t>
            </w:r>
            <w:r w:rsidR="00932B83" w:rsidRPr="009E4338">
              <w:rPr>
                <w:b/>
                <w:bCs/>
                <w:sz w:val="18"/>
                <w:szCs w:val="18"/>
              </w:rPr>
              <w:fldChar w:fldCharType="begin"/>
            </w:r>
            <w:r w:rsidR="00932B83" w:rsidRPr="009E4338">
              <w:rPr>
                <w:b/>
                <w:bCs/>
                <w:sz w:val="18"/>
                <w:szCs w:val="18"/>
              </w:rPr>
              <w:instrText xml:space="preserve"> PAGE </w:instrText>
            </w:r>
            <w:r w:rsidR="00932B83" w:rsidRPr="009E4338">
              <w:rPr>
                <w:b/>
                <w:bCs/>
                <w:sz w:val="18"/>
                <w:szCs w:val="18"/>
              </w:rPr>
              <w:fldChar w:fldCharType="separate"/>
            </w:r>
            <w:r w:rsidR="00932B83" w:rsidRPr="009E4338">
              <w:rPr>
                <w:b/>
                <w:bCs/>
                <w:noProof/>
                <w:sz w:val="18"/>
                <w:szCs w:val="18"/>
              </w:rPr>
              <w:t>2</w:t>
            </w:r>
            <w:r w:rsidR="00932B83" w:rsidRPr="009E4338">
              <w:rPr>
                <w:b/>
                <w:bCs/>
                <w:sz w:val="18"/>
                <w:szCs w:val="18"/>
              </w:rPr>
              <w:fldChar w:fldCharType="end"/>
            </w:r>
            <w:r w:rsidR="00932B83" w:rsidRPr="009E4338">
              <w:rPr>
                <w:sz w:val="18"/>
                <w:szCs w:val="18"/>
              </w:rPr>
              <w:t xml:space="preserve"> of </w:t>
            </w:r>
            <w:r w:rsidR="00932B83" w:rsidRPr="009E4338">
              <w:rPr>
                <w:b/>
                <w:bCs/>
                <w:sz w:val="18"/>
                <w:szCs w:val="18"/>
              </w:rPr>
              <w:fldChar w:fldCharType="begin"/>
            </w:r>
            <w:r w:rsidR="00932B83" w:rsidRPr="009E4338">
              <w:rPr>
                <w:b/>
                <w:bCs/>
                <w:sz w:val="18"/>
                <w:szCs w:val="18"/>
              </w:rPr>
              <w:instrText xml:space="preserve"> NUMPAGES  </w:instrText>
            </w:r>
            <w:r w:rsidR="00932B83" w:rsidRPr="009E4338">
              <w:rPr>
                <w:b/>
                <w:bCs/>
                <w:sz w:val="18"/>
                <w:szCs w:val="18"/>
              </w:rPr>
              <w:fldChar w:fldCharType="separate"/>
            </w:r>
            <w:r w:rsidR="00932B83" w:rsidRPr="009E4338">
              <w:rPr>
                <w:b/>
                <w:bCs/>
                <w:noProof/>
                <w:sz w:val="18"/>
                <w:szCs w:val="18"/>
              </w:rPr>
              <w:t>2</w:t>
            </w:r>
            <w:r w:rsidR="00932B83" w:rsidRPr="009E4338">
              <w:rPr>
                <w:b/>
                <w:bCs/>
                <w:sz w:val="18"/>
                <w:szCs w:val="18"/>
              </w:rPr>
              <w:fldChar w:fldCharType="end"/>
            </w:r>
          </w:sdtContent>
        </w:sdt>
      </w:sdtContent>
    </w:sdt>
  </w:p>
  <w:p w14:paraId="5C250B3D" w14:textId="77777777" w:rsidR="004F4CE3" w:rsidRDefault="004F4CE3">
    <w:pPr>
      <w:pStyle w:val="Footer"/>
      <w:jc w:val="cen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50709" w14:textId="77777777" w:rsidR="00A22104" w:rsidRDefault="00A22104" w:rsidP="00932B83">
      <w:r>
        <w:separator/>
      </w:r>
    </w:p>
  </w:footnote>
  <w:footnote w:type="continuationSeparator" w:id="0">
    <w:p w14:paraId="7EA81B7C" w14:textId="77777777" w:rsidR="00A22104" w:rsidRDefault="00A22104" w:rsidP="00932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225A8"/>
    <w:multiLevelType w:val="hybridMultilevel"/>
    <w:tmpl w:val="9D0A1E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1" w15:restartNumberingAfterBreak="0">
    <w:nsid w:val="28267190"/>
    <w:multiLevelType w:val="hybridMultilevel"/>
    <w:tmpl w:val="5332319E"/>
    <w:lvl w:ilvl="0" w:tplc="FFFFFFFF">
      <w:start w:val="1"/>
      <w:numFmt w:val="lowerLetter"/>
      <w:lvlText w:val="%1."/>
      <w:lvlJc w:val="left"/>
      <w:pPr>
        <w:tabs>
          <w:tab w:val="num" w:pos="720"/>
        </w:tabs>
        <w:ind w:left="936" w:hanging="216"/>
      </w:pPr>
      <w:rPr>
        <w:rFonts w:hint="default"/>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BFC03F4"/>
    <w:multiLevelType w:val="hybridMultilevel"/>
    <w:tmpl w:val="453ED7C6"/>
    <w:lvl w:ilvl="0" w:tplc="62665BF0">
      <w:start w:val="1"/>
      <w:numFmt w:val="lowerLetter"/>
      <w:lvlText w:val="%1."/>
      <w:lvlJc w:val="left"/>
      <w:pPr>
        <w:tabs>
          <w:tab w:val="num" w:pos="720"/>
        </w:tabs>
        <w:ind w:left="936" w:hanging="216"/>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359715">
    <w:abstractNumId w:val="0"/>
  </w:num>
  <w:num w:numId="2" w16cid:durableId="443115867">
    <w:abstractNumId w:val="2"/>
  </w:num>
  <w:num w:numId="3" w16cid:durableId="29189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E3"/>
    <w:rsid w:val="000600B0"/>
    <w:rsid w:val="00075FCB"/>
    <w:rsid w:val="000963D1"/>
    <w:rsid w:val="000B5D16"/>
    <w:rsid w:val="000C2B7E"/>
    <w:rsid w:val="000F2C7A"/>
    <w:rsid w:val="0011589E"/>
    <w:rsid w:val="00123ED3"/>
    <w:rsid w:val="00130DC1"/>
    <w:rsid w:val="001723F2"/>
    <w:rsid w:val="001811C2"/>
    <w:rsid w:val="001A3821"/>
    <w:rsid w:val="001C5903"/>
    <w:rsid w:val="001D6808"/>
    <w:rsid w:val="00234D97"/>
    <w:rsid w:val="002377F5"/>
    <w:rsid w:val="00254BCB"/>
    <w:rsid w:val="00280EDB"/>
    <w:rsid w:val="00297073"/>
    <w:rsid w:val="002A75CB"/>
    <w:rsid w:val="002B57A8"/>
    <w:rsid w:val="003103E2"/>
    <w:rsid w:val="0031793E"/>
    <w:rsid w:val="003622DE"/>
    <w:rsid w:val="003B4EF6"/>
    <w:rsid w:val="003D34BE"/>
    <w:rsid w:val="003D4DB5"/>
    <w:rsid w:val="00412730"/>
    <w:rsid w:val="00416CF2"/>
    <w:rsid w:val="00425A70"/>
    <w:rsid w:val="004451ED"/>
    <w:rsid w:val="00482FC9"/>
    <w:rsid w:val="004B3DDD"/>
    <w:rsid w:val="004F4CE3"/>
    <w:rsid w:val="00513740"/>
    <w:rsid w:val="005216FF"/>
    <w:rsid w:val="005939BD"/>
    <w:rsid w:val="005B7AD1"/>
    <w:rsid w:val="005C4185"/>
    <w:rsid w:val="006D2B15"/>
    <w:rsid w:val="00760D32"/>
    <w:rsid w:val="007A1A26"/>
    <w:rsid w:val="007A6648"/>
    <w:rsid w:val="00804F85"/>
    <w:rsid w:val="00821AEB"/>
    <w:rsid w:val="008410ED"/>
    <w:rsid w:val="008411E2"/>
    <w:rsid w:val="00842485"/>
    <w:rsid w:val="00932B83"/>
    <w:rsid w:val="00971A07"/>
    <w:rsid w:val="009755F4"/>
    <w:rsid w:val="009E4338"/>
    <w:rsid w:val="00A22104"/>
    <w:rsid w:val="00A37DE7"/>
    <w:rsid w:val="00A431C9"/>
    <w:rsid w:val="00AD5D24"/>
    <w:rsid w:val="00BC00C7"/>
    <w:rsid w:val="00BC3F13"/>
    <w:rsid w:val="00BD3C14"/>
    <w:rsid w:val="00BF3069"/>
    <w:rsid w:val="00C1643A"/>
    <w:rsid w:val="00C555E5"/>
    <w:rsid w:val="00CB157A"/>
    <w:rsid w:val="00CB75D0"/>
    <w:rsid w:val="00D573D3"/>
    <w:rsid w:val="00D71BC4"/>
    <w:rsid w:val="00DE0468"/>
    <w:rsid w:val="00E074E7"/>
    <w:rsid w:val="00E122A3"/>
    <w:rsid w:val="00E7402F"/>
    <w:rsid w:val="00EF3C73"/>
    <w:rsid w:val="00EF689B"/>
    <w:rsid w:val="00F02511"/>
    <w:rsid w:val="00F52936"/>
    <w:rsid w:val="00F606BB"/>
    <w:rsid w:val="00F92CCF"/>
    <w:rsid w:val="00FA5ABF"/>
    <w:rsid w:val="00F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89C8"/>
  <w15:chartTrackingRefBased/>
  <w15:docId w15:val="{8326DAA9-7F8A-4833-9429-DC52F8C7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932B83"/>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932B83"/>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oc Char"/>
    <w:basedOn w:val="DefaultParagraphFont"/>
    <w:link w:val="Heading4"/>
    <w:rsid w:val="00932B83"/>
    <w:rPr>
      <w:rFonts w:ascii="Arial" w:eastAsia="Times New Roman" w:hAnsi="Arial" w:cs="Times New Roman"/>
      <w:b/>
      <w:bCs/>
      <w:sz w:val="24"/>
      <w:szCs w:val="28"/>
    </w:rPr>
  </w:style>
  <w:style w:type="paragraph" w:styleId="Footer">
    <w:name w:val="footer"/>
    <w:basedOn w:val="Normal"/>
    <w:link w:val="FooterChar"/>
    <w:uiPriority w:val="99"/>
    <w:rsid w:val="00932B83"/>
    <w:pPr>
      <w:tabs>
        <w:tab w:val="center" w:pos="4320"/>
        <w:tab w:val="right" w:pos="8640"/>
      </w:tabs>
    </w:pPr>
  </w:style>
  <w:style w:type="character" w:customStyle="1" w:styleId="FooterChar">
    <w:name w:val="Footer Char"/>
    <w:basedOn w:val="DefaultParagraphFont"/>
    <w:link w:val="Footer"/>
    <w:uiPriority w:val="99"/>
    <w:rsid w:val="00932B83"/>
    <w:rPr>
      <w:rFonts w:ascii="Arial" w:eastAsia="Times New Roman" w:hAnsi="Arial" w:cs="Times New Roman"/>
    </w:rPr>
  </w:style>
  <w:style w:type="character" w:styleId="PageNumber">
    <w:name w:val="page number"/>
    <w:basedOn w:val="DefaultParagraphFont"/>
    <w:rsid w:val="00932B83"/>
  </w:style>
  <w:style w:type="table" w:styleId="TableGrid">
    <w:name w:val="Table Grid"/>
    <w:basedOn w:val="TableNormal"/>
    <w:rsid w:val="00932B8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ody">
    <w:name w:val="Level 1 Body"/>
    <w:basedOn w:val="Normal"/>
    <w:link w:val="Level1BodyChar"/>
    <w:rsid w:val="00932B83"/>
    <w:rPr>
      <w:color w:val="000000"/>
      <w:szCs w:val="20"/>
    </w:rPr>
  </w:style>
  <w:style w:type="character" w:customStyle="1" w:styleId="Level1BodyChar">
    <w:name w:val="Level 1 Body Char"/>
    <w:basedOn w:val="DefaultParagraphFont"/>
    <w:link w:val="Level1Body"/>
    <w:rsid w:val="00932B83"/>
    <w:rPr>
      <w:rFonts w:ascii="Arial" w:eastAsia="Times New Roman" w:hAnsi="Arial" w:cs="Times New Roman"/>
      <w:color w:val="000000"/>
      <w:szCs w:val="20"/>
    </w:rPr>
  </w:style>
  <w:style w:type="paragraph" w:customStyle="1" w:styleId="Level3Body">
    <w:name w:val="Level 3 Body"/>
    <w:basedOn w:val="Normal"/>
    <w:link w:val="Level3BodyCharChar"/>
    <w:rsid w:val="00932B8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932B83"/>
    <w:rPr>
      <w:rFonts w:ascii="Arial" w:eastAsia="Times New Roman" w:hAnsi="Arial" w:cs="Times New Roman"/>
      <w:color w:val="000000"/>
      <w:szCs w:val="20"/>
    </w:rPr>
  </w:style>
  <w:style w:type="paragraph" w:customStyle="1" w:styleId="14bldcentr">
    <w:name w:val="14 bld centr"/>
    <w:aliases w:val="rfp frm"/>
    <w:basedOn w:val="Normal"/>
    <w:rsid w:val="00932B83"/>
    <w:pPr>
      <w:jc w:val="center"/>
    </w:pPr>
    <w:rPr>
      <w:b/>
      <w:bCs/>
      <w:sz w:val="28"/>
      <w:szCs w:val="20"/>
    </w:rPr>
  </w:style>
  <w:style w:type="paragraph" w:styleId="Header">
    <w:name w:val="header"/>
    <w:basedOn w:val="Normal"/>
    <w:link w:val="HeaderChar"/>
    <w:uiPriority w:val="99"/>
    <w:unhideWhenUsed/>
    <w:rsid w:val="00932B83"/>
    <w:pPr>
      <w:tabs>
        <w:tab w:val="center" w:pos="4680"/>
        <w:tab w:val="right" w:pos="9360"/>
      </w:tabs>
    </w:pPr>
  </w:style>
  <w:style w:type="character" w:customStyle="1" w:styleId="HeaderChar">
    <w:name w:val="Header Char"/>
    <w:basedOn w:val="DefaultParagraphFont"/>
    <w:link w:val="Header"/>
    <w:uiPriority w:val="99"/>
    <w:rsid w:val="00932B83"/>
    <w:rPr>
      <w:rFonts w:ascii="Arial" w:eastAsia="Times New Roman" w:hAnsi="Arial" w:cs="Times New Roman"/>
    </w:rPr>
  </w:style>
  <w:style w:type="paragraph" w:styleId="ListParagraph">
    <w:name w:val="List Paragraph"/>
    <w:basedOn w:val="Normal"/>
    <w:uiPriority w:val="34"/>
    <w:qFormat/>
    <w:rsid w:val="00F92CCF"/>
    <w:pPr>
      <w:spacing w:after="160" w:line="259" w:lineRule="auto"/>
      <w:ind w:left="720"/>
      <w:contextualSpacing/>
      <w:jc w:val="left"/>
    </w:pPr>
    <w:rPr>
      <w:rFonts w:asciiTheme="minorHAnsi" w:eastAsiaTheme="minorHAnsi" w:hAnsiTheme="minorHAnsi" w:cstheme="minorBidi"/>
      <w:kern w:val="2"/>
      <w14:ligatures w14:val="standardContextual"/>
    </w:rPr>
  </w:style>
  <w:style w:type="paragraph" w:styleId="Revision">
    <w:name w:val="Revision"/>
    <w:hidden/>
    <w:uiPriority w:val="99"/>
    <w:semiHidden/>
    <w:rsid w:val="00F52936"/>
    <w:pPr>
      <w:spacing w:after="0" w:line="240" w:lineRule="auto"/>
    </w:pPr>
    <w:rPr>
      <w:rFonts w:ascii="Arial" w:eastAsia="Times New Roman" w:hAnsi="Arial" w:cs="Times New Roman"/>
    </w:rPr>
  </w:style>
  <w:style w:type="character" w:styleId="Hyperlink">
    <w:name w:val="Hyperlink"/>
    <w:basedOn w:val="DefaultParagraphFont"/>
    <w:uiPriority w:val="99"/>
    <w:unhideWhenUsed/>
    <w:rsid w:val="00D573D3"/>
    <w:rPr>
      <w:color w:val="0563C1" w:themeColor="hyperlink"/>
      <w:u w:val="single"/>
    </w:rPr>
  </w:style>
  <w:style w:type="character" w:styleId="UnresolvedMention">
    <w:name w:val="Unresolved Mention"/>
    <w:basedOn w:val="DefaultParagraphFont"/>
    <w:uiPriority w:val="99"/>
    <w:semiHidden/>
    <w:unhideWhenUsed/>
    <w:rsid w:val="00D573D3"/>
    <w:rPr>
      <w:color w:val="605E5C"/>
      <w:shd w:val="clear" w:color="auto" w:fill="E1DFDD"/>
    </w:rPr>
  </w:style>
  <w:style w:type="character" w:styleId="FollowedHyperlink">
    <w:name w:val="FollowedHyperlink"/>
    <w:basedOn w:val="DefaultParagraphFont"/>
    <w:uiPriority w:val="99"/>
    <w:semiHidden/>
    <w:unhideWhenUsed/>
    <w:rsid w:val="00D573D3"/>
    <w:rPr>
      <w:color w:val="954F72" w:themeColor="followedHyperlink"/>
      <w:u w:val="single"/>
    </w:rPr>
  </w:style>
  <w:style w:type="character" w:styleId="CommentReference">
    <w:name w:val="annotation reference"/>
    <w:basedOn w:val="DefaultParagraphFont"/>
    <w:uiPriority w:val="99"/>
    <w:semiHidden/>
    <w:unhideWhenUsed/>
    <w:rsid w:val="002377F5"/>
    <w:rPr>
      <w:sz w:val="16"/>
      <w:szCs w:val="16"/>
    </w:rPr>
  </w:style>
  <w:style w:type="paragraph" w:styleId="CommentText">
    <w:name w:val="annotation text"/>
    <w:basedOn w:val="Normal"/>
    <w:link w:val="CommentTextChar"/>
    <w:uiPriority w:val="99"/>
    <w:unhideWhenUsed/>
    <w:rsid w:val="002377F5"/>
    <w:rPr>
      <w:sz w:val="20"/>
      <w:szCs w:val="20"/>
    </w:rPr>
  </w:style>
  <w:style w:type="character" w:customStyle="1" w:styleId="CommentTextChar">
    <w:name w:val="Comment Text Char"/>
    <w:basedOn w:val="DefaultParagraphFont"/>
    <w:link w:val="CommentText"/>
    <w:uiPriority w:val="99"/>
    <w:rsid w:val="002377F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377F5"/>
    <w:rPr>
      <w:b/>
      <w:bCs/>
    </w:rPr>
  </w:style>
  <w:style w:type="character" w:customStyle="1" w:styleId="CommentSubjectChar">
    <w:name w:val="Comment Subject Char"/>
    <w:basedOn w:val="CommentTextChar"/>
    <w:link w:val="CommentSubject"/>
    <w:uiPriority w:val="99"/>
    <w:semiHidden/>
    <w:rsid w:val="002377F5"/>
    <w:rPr>
      <w:rFonts w:ascii="Arial" w:eastAsia="Times New Roman" w:hAnsi="Arial" w:cs="Times New Roman"/>
      <w:b/>
      <w:bCs/>
      <w:sz w:val="20"/>
      <w:szCs w:val="20"/>
    </w:rPr>
  </w:style>
  <w:style w:type="character" w:customStyle="1" w:styleId="cf01">
    <w:name w:val="cf01"/>
    <w:basedOn w:val="DefaultParagraphFont"/>
    <w:rsid w:val="000963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eeningtool.geoplatform.gov/en/" TargetMode="External"/><Relationship Id="rId3" Type="http://schemas.openxmlformats.org/officeDocument/2006/relationships/settings" Target="settings.xml"/><Relationship Id="rId7" Type="http://schemas.openxmlformats.org/officeDocument/2006/relationships/hyperlink" Target="https://www.energy.gov/scep/home-energy-rebates-progr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6%20-%20Solicitation%20Addendum%20-%20Q&am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26 - Solicitation Addendum - Q&amp;A</Template>
  <TotalTime>367</TotalTime>
  <Pages>4</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Gilliland</dc:creator>
  <cp:keywords/>
  <dc:description/>
  <cp:lastModifiedBy>Gilliland, Dianna</cp:lastModifiedBy>
  <cp:revision>44</cp:revision>
  <dcterms:created xsi:type="dcterms:W3CDTF">2024-12-20T16:17:00Z</dcterms:created>
  <dcterms:modified xsi:type="dcterms:W3CDTF">2025-01-13T18:03:00Z</dcterms:modified>
</cp:coreProperties>
</file>